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7B4" w:rsidRDefault="0005316D" w:rsidP="0005316D">
      <w:pPr>
        <w:pStyle w:val="1"/>
        <w:spacing w:before="170"/>
        <w:ind w:left="0"/>
        <w:rPr>
          <w:rFonts w:eastAsiaTheme="minorEastAsia"/>
          <w:color w:val="337AB7"/>
          <w:lang w:eastAsia="ja-JP"/>
        </w:rPr>
      </w:pPr>
      <w:r w:rsidRPr="003B27B4">
        <w:rPr>
          <w:color w:val="337AB7"/>
        </w:rPr>
        <w:t xml:space="preserve">The </w:t>
      </w:r>
      <w:r w:rsidR="0070655D">
        <w:rPr>
          <w:rFonts w:eastAsiaTheme="minorEastAsia"/>
          <w:color w:val="337AB7"/>
          <w:lang w:eastAsia="ja-JP"/>
        </w:rPr>
        <w:t>N</w:t>
      </w:r>
      <w:r w:rsidRPr="003B27B4">
        <w:rPr>
          <w:rFonts w:eastAsiaTheme="minorEastAsia"/>
          <w:color w:val="337AB7"/>
          <w:lang w:eastAsia="ja-JP"/>
        </w:rPr>
        <w:t xml:space="preserve">ew </w:t>
      </w:r>
      <w:r w:rsidR="0070655D">
        <w:rPr>
          <w:rFonts w:eastAsiaTheme="minorEastAsia"/>
          <w:color w:val="337AB7"/>
          <w:lang w:eastAsia="ja-JP"/>
        </w:rPr>
        <w:t>D</w:t>
      </w:r>
      <w:r w:rsidRPr="003B27B4">
        <w:rPr>
          <w:rFonts w:eastAsiaTheme="minorEastAsia"/>
          <w:color w:val="337AB7"/>
          <w:lang w:eastAsia="ja-JP"/>
        </w:rPr>
        <w:t xml:space="preserve">ietary </w:t>
      </w:r>
      <w:r w:rsidR="0070655D">
        <w:rPr>
          <w:rFonts w:eastAsiaTheme="minorEastAsia"/>
          <w:color w:val="337AB7"/>
          <w:lang w:eastAsia="ja-JP"/>
        </w:rPr>
        <w:t>A</w:t>
      </w:r>
      <w:r w:rsidRPr="003B27B4">
        <w:rPr>
          <w:rFonts w:eastAsiaTheme="minorEastAsia"/>
          <w:color w:val="337AB7"/>
          <w:lang w:eastAsia="ja-JP"/>
        </w:rPr>
        <w:t xml:space="preserve">pproach for </w:t>
      </w:r>
      <w:r w:rsidR="0070655D">
        <w:rPr>
          <w:rFonts w:eastAsiaTheme="minorEastAsia"/>
          <w:color w:val="337AB7"/>
          <w:lang w:eastAsia="ja-JP"/>
        </w:rPr>
        <w:t>P</w:t>
      </w:r>
      <w:r w:rsidRPr="003B27B4">
        <w:rPr>
          <w:rFonts w:eastAsiaTheme="minorEastAsia"/>
          <w:color w:val="337AB7"/>
          <w:lang w:eastAsia="ja-JP"/>
        </w:rPr>
        <w:t xml:space="preserve">atients with </w:t>
      </w:r>
      <w:r w:rsidR="0070655D">
        <w:rPr>
          <w:rFonts w:eastAsiaTheme="minorEastAsia"/>
          <w:color w:val="337AB7"/>
          <w:lang w:eastAsia="ja-JP"/>
        </w:rPr>
        <w:t>D</w:t>
      </w:r>
      <w:r w:rsidRPr="003B27B4">
        <w:rPr>
          <w:rFonts w:eastAsiaTheme="minorEastAsia"/>
          <w:color w:val="337AB7"/>
          <w:lang w:eastAsia="ja-JP"/>
        </w:rPr>
        <w:t xml:space="preserve">iabetes: </w:t>
      </w:r>
    </w:p>
    <w:p w:rsidR="0005316D" w:rsidRPr="003B27B4" w:rsidRDefault="0005316D" w:rsidP="0005316D">
      <w:pPr>
        <w:pStyle w:val="1"/>
        <w:spacing w:before="170"/>
        <w:ind w:left="0"/>
      </w:pPr>
      <w:r w:rsidRPr="003B27B4">
        <w:rPr>
          <w:rFonts w:eastAsiaTheme="minorEastAsia"/>
          <w:color w:val="337AB7"/>
          <w:lang w:eastAsia="ja-JP"/>
        </w:rPr>
        <w:t xml:space="preserve">How and When to </w:t>
      </w:r>
      <w:r w:rsidR="0070655D">
        <w:rPr>
          <w:rFonts w:eastAsiaTheme="minorEastAsia"/>
          <w:color w:val="337AB7"/>
          <w:lang w:eastAsia="ja-JP"/>
        </w:rPr>
        <w:t>E</w:t>
      </w:r>
      <w:r w:rsidRPr="003B27B4">
        <w:rPr>
          <w:rFonts w:eastAsiaTheme="minorEastAsia"/>
          <w:color w:val="337AB7"/>
          <w:lang w:eastAsia="ja-JP"/>
        </w:rPr>
        <w:t>at</w:t>
      </w:r>
    </w:p>
    <w:p w:rsidR="0005316D" w:rsidRPr="0005316D" w:rsidRDefault="0005316D" w:rsidP="0005316D">
      <w:pPr>
        <w:jc w:val="center"/>
        <w:rPr>
          <w:rFonts w:cs="Miriam"/>
          <w:sz w:val="36"/>
          <w:szCs w:val="36"/>
        </w:rPr>
      </w:pPr>
    </w:p>
    <w:p w:rsidR="00AE3E37" w:rsidRDefault="003B27B4">
      <w:pPr>
        <w:pStyle w:val="a3"/>
        <w:rPr>
          <w:rFonts w:ascii="Arial"/>
          <w:sz w:val="20"/>
        </w:rPr>
      </w:pPr>
      <w:r>
        <w:rPr>
          <w:rFonts w:ascii="Arial"/>
        </w:rPr>
        <w:t>Kyoto Women</w:t>
      </w:r>
      <w:r>
        <w:rPr>
          <w:rFonts w:ascii="Arial"/>
        </w:rPr>
        <w:t>’</w:t>
      </w:r>
      <w:r>
        <w:rPr>
          <w:rFonts w:ascii="Arial"/>
        </w:rPr>
        <w:t>s</w:t>
      </w:r>
      <w:r w:rsidR="00596F80" w:rsidRPr="00596F80">
        <w:rPr>
          <w:rFonts w:ascii="Arial"/>
        </w:rPr>
        <w:t xml:space="preserve"> University, </w:t>
      </w:r>
      <w:r>
        <w:rPr>
          <w:rFonts w:ascii="Arial"/>
        </w:rPr>
        <w:t>Kyoto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3B27B4" w:rsidRPr="003B27B4" w:rsidRDefault="003B27B4" w:rsidP="003B27B4">
      <w:pPr>
        <w:autoSpaceDE w:val="0"/>
        <w:autoSpaceDN w:val="0"/>
        <w:adjustRightInd w:val="0"/>
        <w:jc w:val="both"/>
        <w:rPr>
          <w:sz w:val="18"/>
          <w:szCs w:val="18"/>
        </w:rPr>
      </w:pPr>
      <w:r w:rsidRPr="003B27B4">
        <w:rPr>
          <w:b/>
          <w:sz w:val="18"/>
          <w:szCs w:val="18"/>
        </w:rPr>
        <w:t>Aims</w:t>
      </w:r>
      <w:r w:rsidRPr="003B27B4">
        <w:rPr>
          <w:caps/>
          <w:sz w:val="18"/>
          <w:szCs w:val="18"/>
        </w:rPr>
        <w:t xml:space="preserve">: </w:t>
      </w:r>
      <w:r w:rsidRPr="003B27B4">
        <w:rPr>
          <w:sz w:val="18"/>
          <w:szCs w:val="18"/>
        </w:rPr>
        <w:t>Reducing the postprandial glucose level is important to decrease the risk of cardiovascular diseases even before onset of diabetes.</w:t>
      </w:r>
      <w:r w:rsidRPr="003B27B4">
        <w:rPr>
          <w:rFonts w:eastAsiaTheme="minorEastAsia"/>
          <w:sz w:val="18"/>
          <w:szCs w:val="18"/>
        </w:rPr>
        <w:t xml:space="preserve"> </w:t>
      </w:r>
      <w:r w:rsidRPr="003B27B4">
        <w:rPr>
          <w:caps/>
          <w:sz w:val="18"/>
          <w:szCs w:val="18"/>
        </w:rPr>
        <w:t>w</w:t>
      </w:r>
      <w:r w:rsidRPr="003B27B4">
        <w:rPr>
          <w:rFonts w:eastAsiaTheme="minorEastAsia"/>
          <w:sz w:val="18"/>
          <w:szCs w:val="18"/>
        </w:rPr>
        <w:t>e reported that the glucose excursions was significantly lower when the subjects ate vegetable before carbohydrate compared to the reverse regimen in both individuals with and without diabetes. In this study we</w:t>
      </w:r>
      <w:r w:rsidRPr="003B27B4">
        <w:rPr>
          <w:sz w:val="18"/>
          <w:szCs w:val="18"/>
        </w:rPr>
        <w:t xml:space="preserve"> explored the acute effect of the late-night-dinner and the divided-dinner on postprandial glucose levels in people with and without type 2 diabetes.</w:t>
      </w:r>
    </w:p>
    <w:p w:rsidR="003B27B4" w:rsidRPr="003B27B4" w:rsidRDefault="003B27B4" w:rsidP="003B27B4">
      <w:pPr>
        <w:autoSpaceDE w:val="0"/>
        <w:autoSpaceDN w:val="0"/>
        <w:adjustRightInd w:val="0"/>
        <w:jc w:val="both"/>
        <w:rPr>
          <w:sz w:val="18"/>
          <w:szCs w:val="18"/>
        </w:rPr>
      </w:pPr>
      <w:r w:rsidRPr="003B27B4">
        <w:rPr>
          <w:b/>
          <w:caps/>
          <w:sz w:val="18"/>
          <w:szCs w:val="18"/>
        </w:rPr>
        <w:t>M</w:t>
      </w:r>
      <w:r w:rsidRPr="003B27B4">
        <w:rPr>
          <w:b/>
          <w:sz w:val="18"/>
          <w:szCs w:val="18"/>
        </w:rPr>
        <w:t>ethods</w:t>
      </w:r>
      <w:r w:rsidRPr="003B27B4">
        <w:rPr>
          <w:caps/>
          <w:sz w:val="18"/>
          <w:szCs w:val="18"/>
        </w:rPr>
        <w:t xml:space="preserve">: </w:t>
      </w:r>
      <w:r w:rsidRPr="003B27B4">
        <w:rPr>
          <w:sz w:val="18"/>
          <w:szCs w:val="18"/>
        </w:rPr>
        <w:t xml:space="preserve">Sixteen patients with type 2 diabetes and 14 healthy women were randomly assigned to this crossover study. Each participant wore a continuous glucose monitor for 5 days and consumed identical test meals from the second to the fourth day at home. Each participant consumed the test meals of breakfast at 08:00h, lunch at 13:00, and the half of the participants consumed dinner at 21:00 (D21) on the second day, 18:00 (D18) on the third day, and divided dinner (DD: carbohydrate at 1800h, and vegetable and the main dish at 21:00) on the fourth day. The rest of the participants consumed DD on the second day, and D21 on the fourth day. </w:t>
      </w:r>
    </w:p>
    <w:p w:rsidR="003B27B4" w:rsidRPr="003B27B4" w:rsidRDefault="003B27B4" w:rsidP="003B27B4">
      <w:pPr>
        <w:jc w:val="both"/>
        <w:rPr>
          <w:sz w:val="18"/>
          <w:szCs w:val="18"/>
        </w:rPr>
      </w:pPr>
      <w:r w:rsidRPr="003B27B4">
        <w:rPr>
          <w:b/>
          <w:caps/>
          <w:sz w:val="18"/>
          <w:szCs w:val="18"/>
        </w:rPr>
        <w:t>R</w:t>
      </w:r>
      <w:r w:rsidRPr="003B27B4">
        <w:rPr>
          <w:b/>
          <w:sz w:val="18"/>
          <w:szCs w:val="18"/>
        </w:rPr>
        <w:t>esults</w:t>
      </w:r>
      <w:r w:rsidRPr="003B27B4">
        <w:rPr>
          <w:caps/>
          <w:sz w:val="18"/>
          <w:szCs w:val="18"/>
        </w:rPr>
        <w:t xml:space="preserve">: </w:t>
      </w:r>
      <w:r w:rsidRPr="003B27B4">
        <w:rPr>
          <w:sz w:val="18"/>
          <w:szCs w:val="18"/>
        </w:rPr>
        <w:t>D21 demonstrated higher incremental glucose peak (IGP) and incremental area under the curve for glucose (IAUC) than D18. On the other hand, DD ameliorated IGP, IAUC, and the mean amplitude of glycemic excursion than D21 in both patients with type 2 diabetes and young women without diabetes.</w:t>
      </w:r>
    </w:p>
    <w:p w:rsidR="003B27B4" w:rsidRPr="003B27B4" w:rsidRDefault="003B27B4" w:rsidP="003B27B4">
      <w:pPr>
        <w:jc w:val="both"/>
        <w:rPr>
          <w:sz w:val="18"/>
          <w:szCs w:val="18"/>
        </w:rPr>
      </w:pPr>
      <w:r w:rsidRPr="003B27B4">
        <w:rPr>
          <w:b/>
          <w:caps/>
          <w:sz w:val="18"/>
          <w:szCs w:val="18"/>
        </w:rPr>
        <w:t>C</w:t>
      </w:r>
      <w:r w:rsidRPr="003B27B4">
        <w:rPr>
          <w:b/>
          <w:sz w:val="18"/>
          <w:szCs w:val="18"/>
        </w:rPr>
        <w:t>onclusions</w:t>
      </w:r>
      <w:r w:rsidRPr="003B27B4">
        <w:rPr>
          <w:caps/>
          <w:sz w:val="18"/>
          <w:szCs w:val="18"/>
        </w:rPr>
        <w:t>: T</w:t>
      </w:r>
      <w:r w:rsidRPr="003B27B4">
        <w:rPr>
          <w:sz w:val="18"/>
          <w:szCs w:val="18"/>
        </w:rPr>
        <w:t>his study demonstrated that consuming late-night-dinner led to postprandial hyperglycemia, and this postprandial hyperglycemia can be ameliorated by consuming a divided dinner. Our findings demonstrate that the new dietary approach should be taken into consideration not only on the amounts of energy, and macronutrient proportion, but also on how and when it was eaten in people with and without type 2 diabetes.</w:t>
      </w:r>
    </w:p>
    <w:p w:rsidR="00AE3E37" w:rsidRDefault="00596F80" w:rsidP="00596F80">
      <w:pPr>
        <w:pStyle w:val="3"/>
        <w:spacing w:before="74"/>
        <w:rPr>
          <w:b w:val="0"/>
          <w:sz w:val="16"/>
        </w:rPr>
      </w:pPr>
      <w:r w:rsidRPr="00596F80">
        <w:rPr>
          <w:rFonts w:ascii="Tw Cen MT" w:eastAsia="Tw Cen MT" w:hAnsi="Tw Cen MT" w:cs="Tw Cen MT"/>
          <w:b w:val="0"/>
          <w:bCs w:val="0"/>
          <w:sz w:val="18"/>
          <w:szCs w:val="18"/>
        </w:rPr>
        <w:tab/>
      </w:r>
      <w:r w:rsidR="00A9710C">
        <w:rPr>
          <w:b w:val="0"/>
        </w:rPr>
        <w:br w:type="column"/>
      </w:r>
      <w:r>
        <w:rPr>
          <w:b w:val="0"/>
          <w:sz w:val="16"/>
        </w:rPr>
        <w:t xml:space="preserve"> </w:t>
      </w:r>
    </w:p>
    <w:p w:rsidR="00AE3E37" w:rsidRPr="008756E6" w:rsidRDefault="005973B9" w:rsidP="00596F80">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2B34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B27B4" w:rsidRPr="00E77895">
        <w:rPr>
          <w:noProof/>
        </w:rPr>
        <w:drawing>
          <wp:inline distT="0" distB="0" distL="0" distR="0" wp14:anchorId="74E6FBCE" wp14:editId="5C56F622">
            <wp:extent cx="673178" cy="764396"/>
            <wp:effectExtent l="0" t="0" r="0" b="0"/>
            <wp:docPr id="1" name="図 1" descr="C:\Users\Owner\Desktop\今井佐恵子顔写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今井佐恵子顔写真.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0268" cy="772446"/>
                    </a:xfrm>
                    <a:prstGeom prst="rect">
                      <a:avLst/>
                    </a:prstGeom>
                    <a:noFill/>
                    <a:ln>
                      <a:noFill/>
                    </a:ln>
                  </pic:spPr>
                </pic:pic>
              </a:graphicData>
            </a:graphic>
          </wp:inline>
        </w:drawing>
      </w:r>
      <w:bookmarkStart w:id="0" w:name="_GoBack"/>
      <w:bookmarkEnd w:id="0"/>
    </w:p>
    <w:p w:rsidR="003B27B4" w:rsidRPr="00E77895" w:rsidRDefault="003B27B4" w:rsidP="003B27B4">
      <w:pPr>
        <w:spacing w:line="200" w:lineRule="exact"/>
        <w:ind w:right="-82"/>
        <w:contextualSpacing/>
        <w:jc w:val="both"/>
        <w:rPr>
          <w:rFonts w:eastAsia="Times New Roman"/>
          <w:color w:val="181512"/>
          <w:sz w:val="16"/>
          <w:szCs w:val="16"/>
        </w:rPr>
      </w:pPr>
      <w:proofErr w:type="spellStart"/>
      <w:r w:rsidRPr="00E77895">
        <w:rPr>
          <w:rFonts w:eastAsia="Times New Roman"/>
          <w:color w:val="181512"/>
          <w:sz w:val="16"/>
          <w:szCs w:val="16"/>
        </w:rPr>
        <w:t>Saeko</w:t>
      </w:r>
      <w:proofErr w:type="spellEnd"/>
      <w:r w:rsidRPr="00E77895">
        <w:rPr>
          <w:rFonts w:eastAsia="Times New Roman"/>
          <w:color w:val="181512"/>
          <w:sz w:val="16"/>
          <w:szCs w:val="16"/>
        </w:rPr>
        <w:t xml:space="preserve"> Imai, Ph.D. is Professor of Department of Food and Nutrition in Kyoto Women’s University, Japan. Previously, </w:t>
      </w:r>
      <w:r>
        <w:rPr>
          <w:rFonts w:eastAsia="Times New Roman"/>
          <w:color w:val="181512"/>
          <w:sz w:val="16"/>
          <w:szCs w:val="16"/>
        </w:rPr>
        <w:t>she</w:t>
      </w:r>
      <w:r w:rsidRPr="00E77895">
        <w:rPr>
          <w:rFonts w:eastAsia="Times New Roman"/>
          <w:color w:val="181512"/>
          <w:sz w:val="16"/>
          <w:szCs w:val="16"/>
        </w:rPr>
        <w:t xml:space="preserve"> was a </w:t>
      </w:r>
      <w:r>
        <w:rPr>
          <w:rFonts w:eastAsia="Times New Roman"/>
          <w:color w:val="181512"/>
          <w:sz w:val="16"/>
          <w:szCs w:val="16"/>
        </w:rPr>
        <w:t>P</w:t>
      </w:r>
      <w:r w:rsidRPr="00E77895">
        <w:rPr>
          <w:rFonts w:eastAsia="Times New Roman"/>
          <w:color w:val="181512"/>
          <w:sz w:val="16"/>
          <w:szCs w:val="16"/>
        </w:rPr>
        <w:t>rofessor of Osaka Prefecture University</w:t>
      </w:r>
      <w:r>
        <w:rPr>
          <w:rFonts w:eastAsia="Times New Roman"/>
          <w:color w:val="181512"/>
          <w:sz w:val="16"/>
          <w:szCs w:val="16"/>
        </w:rPr>
        <w:t xml:space="preserve"> and </w:t>
      </w:r>
      <w:r w:rsidRPr="00E77895">
        <w:rPr>
          <w:rFonts w:eastAsia="Times New Roman"/>
          <w:color w:val="181512"/>
          <w:sz w:val="16"/>
          <w:szCs w:val="16"/>
        </w:rPr>
        <w:t>research</w:t>
      </w:r>
      <w:r>
        <w:rPr>
          <w:rFonts w:eastAsia="Times New Roman"/>
          <w:color w:val="181512"/>
          <w:sz w:val="16"/>
          <w:szCs w:val="16"/>
        </w:rPr>
        <w:t>ed</w:t>
      </w:r>
      <w:r w:rsidRPr="00E77895">
        <w:rPr>
          <w:rFonts w:eastAsia="Times New Roman"/>
          <w:color w:val="181512"/>
          <w:sz w:val="16"/>
          <w:szCs w:val="16"/>
        </w:rPr>
        <w:t xml:space="preserve"> at Molecular Nutrition </w:t>
      </w:r>
      <w:r>
        <w:rPr>
          <w:rFonts w:eastAsia="Times New Roman"/>
          <w:color w:val="181512"/>
          <w:sz w:val="16"/>
          <w:szCs w:val="16"/>
        </w:rPr>
        <w:t xml:space="preserve">of </w:t>
      </w:r>
      <w:r w:rsidRPr="00E77895">
        <w:rPr>
          <w:rFonts w:eastAsia="Times New Roman"/>
          <w:color w:val="181512"/>
          <w:sz w:val="16"/>
          <w:szCs w:val="16"/>
        </w:rPr>
        <w:t>Graduated School of Life and Environmental Science in Kyoto Prefectural University.</w:t>
      </w:r>
      <w:r>
        <w:rPr>
          <w:rFonts w:eastAsia="Times New Roman"/>
          <w:color w:val="181512"/>
          <w:sz w:val="16"/>
          <w:szCs w:val="16"/>
        </w:rPr>
        <w:t xml:space="preserve"> </w:t>
      </w:r>
      <w:r w:rsidRPr="00E77895">
        <w:rPr>
          <w:rFonts w:eastAsia="Times New Roman"/>
          <w:color w:val="181512"/>
          <w:sz w:val="16"/>
          <w:szCs w:val="16"/>
        </w:rPr>
        <w:t xml:space="preserve">Professor Imai is the </w:t>
      </w:r>
      <w:r w:rsidRPr="00E77895">
        <w:rPr>
          <w:rFonts w:eastAsia="ＭＳ 明朝"/>
          <w:color w:val="181512"/>
          <w:sz w:val="16"/>
          <w:szCs w:val="16"/>
        </w:rPr>
        <w:t>Councilor of Japan Society of Metabolism and Clinical Nutrition,</w:t>
      </w:r>
      <w:r w:rsidRPr="00E77895">
        <w:rPr>
          <w:rFonts w:eastAsia="Times New Roman"/>
          <w:color w:val="181512"/>
          <w:sz w:val="16"/>
          <w:szCs w:val="16"/>
        </w:rPr>
        <w:t xml:space="preserve"> Japan Society of Nutrition and Food Science, and Japanese Society of Nutrition and Dietetics. She is also a member of JDS (the Japan Diabetes Society), ADA (American Diabetes Association), and EASD (European Association for the Study of Diabetes). </w:t>
      </w:r>
      <w:r>
        <w:rPr>
          <w:rFonts w:eastAsia="Times New Roman"/>
          <w:color w:val="181512"/>
          <w:sz w:val="16"/>
          <w:szCs w:val="16"/>
        </w:rPr>
        <w:t>She a</w:t>
      </w:r>
      <w:r w:rsidRPr="00E77895">
        <w:rPr>
          <w:rFonts w:eastAsia="Times New Roman"/>
          <w:color w:val="181512"/>
          <w:sz w:val="16"/>
          <w:szCs w:val="16"/>
        </w:rPr>
        <w:t xml:space="preserve">uthored the book, “Eating </w:t>
      </w:r>
      <w:r>
        <w:rPr>
          <w:rFonts w:eastAsia="Times New Roman"/>
          <w:color w:val="181512"/>
          <w:sz w:val="16"/>
          <w:szCs w:val="16"/>
        </w:rPr>
        <w:t>vegetables before carbohydrate</w:t>
      </w:r>
      <w:r w:rsidRPr="00E77895">
        <w:rPr>
          <w:rFonts w:eastAsia="Times New Roman"/>
          <w:color w:val="181512"/>
          <w:sz w:val="16"/>
          <w:szCs w:val="16"/>
        </w:rPr>
        <w:t xml:space="preserve"> for </w:t>
      </w:r>
      <w:r>
        <w:rPr>
          <w:rFonts w:eastAsia="Times New Roman"/>
          <w:color w:val="181512"/>
          <w:sz w:val="16"/>
          <w:szCs w:val="16"/>
        </w:rPr>
        <w:t>patients with d</w:t>
      </w:r>
      <w:r w:rsidRPr="00E77895">
        <w:rPr>
          <w:rFonts w:eastAsia="Times New Roman"/>
          <w:color w:val="181512"/>
          <w:sz w:val="16"/>
          <w:szCs w:val="16"/>
        </w:rPr>
        <w:t xml:space="preserve">iabetes” in addition to </w:t>
      </w:r>
      <w:r>
        <w:rPr>
          <w:rFonts w:eastAsia="Times New Roman"/>
          <w:color w:val="181512"/>
          <w:sz w:val="16"/>
          <w:szCs w:val="16"/>
        </w:rPr>
        <w:t>more than forty publications in international journals</w:t>
      </w:r>
      <w:r w:rsidRPr="00E77895">
        <w:rPr>
          <w:rFonts w:eastAsia="Times New Roman"/>
          <w:color w:val="181512"/>
          <w:sz w:val="16"/>
          <w:szCs w:val="16"/>
        </w:rPr>
        <w:t xml:space="preserve">. </w:t>
      </w:r>
    </w:p>
    <w:p w:rsidR="00AE3E37" w:rsidRPr="003B27B4" w:rsidRDefault="00A9710C" w:rsidP="00596F80">
      <w:pPr>
        <w:spacing w:before="62"/>
        <w:ind w:right="4235"/>
        <w:rPr>
          <w:rFonts w:ascii="Arial" w:hAnsi="Arial" w:cs="Arial"/>
          <w:sz w:val="14"/>
          <w:szCs w:val="14"/>
        </w:rPr>
      </w:pPr>
      <w:r w:rsidRPr="003B27B4">
        <w:rPr>
          <w:rFonts w:ascii="Arial" w:hAnsi="Arial" w:cs="Arial"/>
          <w:sz w:val="14"/>
        </w:rPr>
        <w:t>E</w:t>
      </w:r>
      <w:r w:rsidRPr="003B27B4">
        <w:rPr>
          <w:rFonts w:ascii="Arial" w:hAnsi="Arial" w:cs="Arial"/>
          <w:sz w:val="14"/>
          <w:szCs w:val="14"/>
        </w:rPr>
        <w:t>mail:</w:t>
      </w:r>
      <w:r w:rsidR="003B27B4" w:rsidRPr="003B27B4">
        <w:rPr>
          <w:rFonts w:ascii="Arial" w:hAnsi="Arial" w:cs="Arial"/>
          <w:sz w:val="14"/>
          <w:szCs w:val="14"/>
        </w:rPr>
        <w:t>poooch@hotmail.co.jp</w:t>
      </w:r>
      <w:r w:rsidR="00596F80" w:rsidRPr="003B27B4">
        <w:rPr>
          <w:rFonts w:ascii="Arial" w:hAnsi="Arial" w:cs="Arial"/>
          <w:sz w:val="14"/>
          <w:szCs w:val="14"/>
        </w:rPr>
        <w:t xml:space="preserve"> </w:t>
      </w:r>
    </w:p>
    <w:p w:rsidR="00AE3E37" w:rsidRPr="003B27B4" w:rsidRDefault="00292ED9">
      <w:pPr>
        <w:pStyle w:val="a3"/>
        <w:spacing w:before="2"/>
        <w:rPr>
          <w:rFonts w:ascii="Arial"/>
          <w:sz w:val="14"/>
          <w:szCs w:val="14"/>
        </w:rPr>
      </w:pPr>
      <w:r w:rsidRPr="003B27B4">
        <w:rPr>
          <w:noProof/>
          <w:sz w:val="14"/>
          <w:szCs w:val="14"/>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45EF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AFD" w:rsidRDefault="00040AFD">
      <w:r>
        <w:separator/>
      </w:r>
    </w:p>
  </w:endnote>
  <w:endnote w:type="continuationSeparator" w:id="0">
    <w:p w:rsidR="00040AFD" w:rsidRDefault="0004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AFD" w:rsidRDefault="00040AFD">
      <w:r>
        <w:separator/>
      </w:r>
    </w:p>
  </w:footnote>
  <w:footnote w:type="continuationSeparator" w:id="0">
    <w:p w:rsidR="00040AFD" w:rsidRDefault="00040A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0AFD"/>
    <w:rsid w:val="0005316D"/>
    <w:rsid w:val="000E2911"/>
    <w:rsid w:val="001263DF"/>
    <w:rsid w:val="00292ED9"/>
    <w:rsid w:val="003B27B4"/>
    <w:rsid w:val="00404E5B"/>
    <w:rsid w:val="00414F7B"/>
    <w:rsid w:val="004355DC"/>
    <w:rsid w:val="004749B4"/>
    <w:rsid w:val="00494130"/>
    <w:rsid w:val="004F3523"/>
    <w:rsid w:val="00596F80"/>
    <w:rsid w:val="005973B9"/>
    <w:rsid w:val="005B3A56"/>
    <w:rsid w:val="006060CE"/>
    <w:rsid w:val="0063497F"/>
    <w:rsid w:val="0070655D"/>
    <w:rsid w:val="007E08EA"/>
    <w:rsid w:val="00873DF0"/>
    <w:rsid w:val="008756E6"/>
    <w:rsid w:val="009B2D44"/>
    <w:rsid w:val="00A07E82"/>
    <w:rsid w:val="00A9710C"/>
    <w:rsid w:val="00AA05B5"/>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4B3A1B6A-EFD3-446D-BD13-F79C730A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426</Words>
  <Characters>2430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saekoimai</cp:lastModifiedBy>
  <cp:revision>4</cp:revision>
  <cp:lastPrinted>2018-04-04T01:17:00Z</cp:lastPrinted>
  <dcterms:created xsi:type="dcterms:W3CDTF">2018-04-04T01:10:00Z</dcterms:created>
  <dcterms:modified xsi:type="dcterms:W3CDTF">2018-04-04T01:20:00Z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