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16D" w:rsidRPr="00DE166A" w:rsidRDefault="0067616D" w:rsidP="00DE166A">
      <w:pPr>
        <w:spacing w:line="360" w:lineRule="auto"/>
        <w:rPr>
          <w:rFonts w:ascii="Arial" w:hAnsi="Arial" w:cs="Arial"/>
          <w:b/>
          <w:szCs w:val="24"/>
        </w:rPr>
      </w:pPr>
      <w:r w:rsidRPr="00DE166A">
        <w:rPr>
          <w:rFonts w:ascii="Arial" w:hAnsi="Arial" w:cs="Arial"/>
          <w:b/>
          <w:szCs w:val="24"/>
        </w:rPr>
        <w:t>Association between phytoestrogens, glucose homeostasis and risk of diabetes in women: a systematic review and meta-analysis</w:t>
      </w:r>
    </w:p>
    <w:p w:rsidR="0067616D" w:rsidRPr="00DE166A" w:rsidRDefault="0067616D" w:rsidP="0067616D">
      <w:pPr>
        <w:pStyle w:val="Heading1"/>
        <w:shd w:val="clear" w:color="auto" w:fill="FFFFFF"/>
        <w:spacing w:before="0" w:line="276" w:lineRule="auto"/>
        <w:jc w:val="both"/>
        <w:textAlignment w:val="baseline"/>
        <w:rPr>
          <w:rFonts w:ascii="Arial" w:hAnsi="Arial" w:cs="Arial"/>
          <w:b w:val="0"/>
          <w:bCs w:val="0"/>
          <w:sz w:val="16"/>
          <w:szCs w:val="22"/>
          <w:vertAlign w:val="superscript"/>
        </w:rPr>
      </w:pPr>
      <w:r w:rsidRPr="00DE166A">
        <w:rPr>
          <w:rFonts w:ascii="Arial" w:hAnsi="Arial" w:cs="Arial"/>
          <w:b w:val="0"/>
          <w:bCs w:val="0"/>
          <w:sz w:val="16"/>
          <w:szCs w:val="22"/>
        </w:rPr>
        <w:t>Marija Glisic, MSc</w:t>
      </w:r>
      <w:r w:rsidRPr="00DE166A">
        <w:rPr>
          <w:rFonts w:ascii="Arial" w:hAnsi="Arial" w:cs="Arial"/>
          <w:b w:val="0"/>
          <w:bCs w:val="0"/>
          <w:sz w:val="16"/>
          <w:szCs w:val="22"/>
          <w:vertAlign w:val="superscript"/>
        </w:rPr>
        <w:t>1,2</w:t>
      </w:r>
      <w:r w:rsidRPr="00DE166A">
        <w:rPr>
          <w:rFonts w:ascii="Arial" w:hAnsi="Arial" w:cs="Arial"/>
          <w:b w:val="0"/>
          <w:bCs w:val="0"/>
          <w:sz w:val="16"/>
          <w:szCs w:val="22"/>
        </w:rPr>
        <w:t>, Natyra Kastrati, MSc</w:t>
      </w:r>
      <w:r w:rsidRPr="00DE166A">
        <w:rPr>
          <w:rFonts w:ascii="Arial" w:hAnsi="Arial" w:cs="Arial"/>
          <w:b w:val="0"/>
          <w:bCs w:val="0"/>
          <w:sz w:val="16"/>
          <w:szCs w:val="22"/>
          <w:vertAlign w:val="superscript"/>
        </w:rPr>
        <w:t>1*</w:t>
      </w:r>
      <w:r w:rsidRPr="00DE166A">
        <w:rPr>
          <w:rFonts w:ascii="Arial" w:hAnsi="Arial" w:cs="Arial"/>
          <w:b w:val="0"/>
          <w:bCs w:val="0"/>
          <w:sz w:val="16"/>
          <w:szCs w:val="22"/>
        </w:rPr>
        <w:t>, Valentina Gonzalez-Jaramillo, MD</w:t>
      </w:r>
      <w:r w:rsidRPr="00DE166A">
        <w:rPr>
          <w:rFonts w:ascii="Arial" w:hAnsi="Arial" w:cs="Arial"/>
          <w:b w:val="0"/>
          <w:bCs w:val="0"/>
          <w:sz w:val="16"/>
          <w:szCs w:val="22"/>
          <w:vertAlign w:val="superscript"/>
        </w:rPr>
        <w:t>1*</w:t>
      </w:r>
      <w:r w:rsidRPr="00DE166A">
        <w:rPr>
          <w:rFonts w:ascii="Arial" w:hAnsi="Arial" w:cs="Arial"/>
          <w:b w:val="0"/>
          <w:bCs w:val="0"/>
          <w:sz w:val="16"/>
          <w:szCs w:val="22"/>
        </w:rPr>
        <w:t xml:space="preserve">, </w:t>
      </w:r>
      <w:proofErr w:type="spellStart"/>
      <w:r w:rsidRPr="00DE166A">
        <w:rPr>
          <w:rFonts w:ascii="Arial" w:hAnsi="Arial" w:cs="Arial"/>
          <w:b w:val="0"/>
          <w:bCs w:val="0"/>
          <w:sz w:val="16"/>
          <w:szCs w:val="22"/>
        </w:rPr>
        <w:t>Wichor</w:t>
      </w:r>
      <w:proofErr w:type="spellEnd"/>
      <w:r w:rsidRPr="00DE166A">
        <w:rPr>
          <w:rFonts w:ascii="Arial" w:hAnsi="Arial" w:cs="Arial"/>
          <w:b w:val="0"/>
          <w:bCs w:val="0"/>
          <w:sz w:val="16"/>
          <w:szCs w:val="22"/>
        </w:rPr>
        <w:t xml:space="preserve"> M. Bramer, PhD</w:t>
      </w:r>
      <w:r w:rsidRPr="00DE166A">
        <w:rPr>
          <w:rFonts w:ascii="Arial" w:hAnsi="Arial" w:cs="Arial"/>
          <w:b w:val="0"/>
          <w:bCs w:val="0"/>
          <w:sz w:val="16"/>
          <w:szCs w:val="22"/>
          <w:vertAlign w:val="superscript"/>
        </w:rPr>
        <w:t>3</w:t>
      </w:r>
      <w:r w:rsidRPr="00DE166A">
        <w:rPr>
          <w:rFonts w:ascii="Arial" w:hAnsi="Arial" w:cs="Arial"/>
          <w:b w:val="0"/>
          <w:bCs w:val="0"/>
          <w:sz w:val="16"/>
          <w:szCs w:val="22"/>
        </w:rPr>
        <w:t xml:space="preserve">, </w:t>
      </w:r>
      <w:proofErr w:type="spellStart"/>
      <w:r w:rsidRPr="00DE166A">
        <w:rPr>
          <w:rFonts w:ascii="Arial" w:hAnsi="Arial" w:cs="Arial"/>
          <w:b w:val="0"/>
          <w:bCs w:val="0"/>
          <w:sz w:val="16"/>
          <w:szCs w:val="22"/>
        </w:rPr>
        <w:t>Fariba</w:t>
      </w:r>
      <w:proofErr w:type="spellEnd"/>
      <w:r w:rsidRPr="00DE166A">
        <w:rPr>
          <w:rFonts w:ascii="Arial" w:hAnsi="Arial" w:cs="Arial"/>
          <w:b w:val="0"/>
          <w:bCs w:val="0"/>
          <w:sz w:val="16"/>
          <w:szCs w:val="22"/>
        </w:rPr>
        <w:t xml:space="preserve"> Ahmadizar, PhD</w:t>
      </w:r>
      <w:r w:rsidRPr="00DE166A">
        <w:rPr>
          <w:rFonts w:ascii="Arial" w:hAnsi="Arial" w:cs="Arial"/>
          <w:b w:val="0"/>
          <w:bCs w:val="0"/>
          <w:sz w:val="16"/>
          <w:szCs w:val="22"/>
          <w:vertAlign w:val="superscript"/>
        </w:rPr>
        <w:t>1</w:t>
      </w:r>
      <w:r w:rsidRPr="00DE166A">
        <w:rPr>
          <w:rFonts w:ascii="Arial" w:hAnsi="Arial" w:cs="Arial"/>
          <w:b w:val="0"/>
          <w:bCs w:val="0"/>
          <w:sz w:val="16"/>
          <w:szCs w:val="22"/>
        </w:rPr>
        <w:t>, Rajiv Chowdhury, PhD</w:t>
      </w:r>
      <w:r w:rsidRPr="00DE166A">
        <w:rPr>
          <w:rFonts w:ascii="Arial" w:hAnsi="Arial" w:cs="Arial"/>
          <w:b w:val="0"/>
          <w:bCs w:val="0"/>
          <w:sz w:val="16"/>
          <w:szCs w:val="22"/>
          <w:vertAlign w:val="superscript"/>
        </w:rPr>
        <w:t>4</w:t>
      </w:r>
      <w:r w:rsidRPr="00DE166A">
        <w:rPr>
          <w:rFonts w:ascii="Arial" w:hAnsi="Arial" w:cs="Arial"/>
          <w:b w:val="0"/>
          <w:bCs w:val="0"/>
          <w:sz w:val="16"/>
          <w:szCs w:val="22"/>
        </w:rPr>
        <w:t>, Jan Danser, PhD</w:t>
      </w:r>
      <w:r w:rsidRPr="00DE166A">
        <w:rPr>
          <w:rFonts w:ascii="Arial" w:hAnsi="Arial" w:cs="Arial"/>
          <w:b w:val="0"/>
          <w:bCs w:val="0"/>
          <w:sz w:val="16"/>
          <w:szCs w:val="22"/>
          <w:vertAlign w:val="superscript"/>
        </w:rPr>
        <w:t>2</w:t>
      </w:r>
      <w:r w:rsidRPr="00DE166A">
        <w:rPr>
          <w:rFonts w:ascii="Arial" w:hAnsi="Arial" w:cs="Arial"/>
          <w:b w:val="0"/>
          <w:bCs w:val="0"/>
          <w:sz w:val="16"/>
          <w:szCs w:val="22"/>
        </w:rPr>
        <w:t>, Anton Roks, PhD</w:t>
      </w:r>
      <w:r w:rsidRPr="00DE166A">
        <w:rPr>
          <w:rFonts w:ascii="Arial" w:hAnsi="Arial" w:cs="Arial"/>
          <w:b w:val="0"/>
          <w:bCs w:val="0"/>
          <w:sz w:val="16"/>
          <w:szCs w:val="22"/>
          <w:vertAlign w:val="superscript"/>
        </w:rPr>
        <w:t>2</w:t>
      </w:r>
      <w:r w:rsidRPr="00DE166A">
        <w:rPr>
          <w:rFonts w:ascii="Arial" w:hAnsi="Arial" w:cs="Arial"/>
          <w:b w:val="0"/>
          <w:bCs w:val="0"/>
          <w:sz w:val="16"/>
          <w:szCs w:val="22"/>
        </w:rPr>
        <w:t xml:space="preserve">, Trudy </w:t>
      </w:r>
      <w:proofErr w:type="spellStart"/>
      <w:r w:rsidRPr="00DE166A">
        <w:rPr>
          <w:rFonts w:ascii="Arial" w:hAnsi="Arial" w:cs="Arial"/>
          <w:b w:val="0"/>
          <w:bCs w:val="0"/>
          <w:sz w:val="16"/>
          <w:szCs w:val="22"/>
        </w:rPr>
        <w:t>Voortman</w:t>
      </w:r>
      <w:proofErr w:type="spellEnd"/>
      <w:r w:rsidRPr="00DE166A">
        <w:rPr>
          <w:rFonts w:ascii="Arial" w:hAnsi="Arial" w:cs="Arial"/>
          <w:b w:val="0"/>
          <w:bCs w:val="0"/>
          <w:sz w:val="16"/>
          <w:szCs w:val="22"/>
        </w:rPr>
        <w:t>, PhD</w:t>
      </w:r>
      <w:r w:rsidRPr="00DE166A">
        <w:rPr>
          <w:rFonts w:ascii="Arial" w:hAnsi="Arial" w:cs="Arial"/>
          <w:b w:val="0"/>
          <w:bCs w:val="0"/>
          <w:sz w:val="16"/>
          <w:szCs w:val="22"/>
          <w:vertAlign w:val="superscript"/>
        </w:rPr>
        <w:t>1</w:t>
      </w:r>
      <w:r w:rsidRPr="00DE166A">
        <w:rPr>
          <w:rFonts w:ascii="Arial" w:hAnsi="Arial" w:cs="Arial"/>
          <w:b w:val="0"/>
          <w:bCs w:val="0"/>
          <w:sz w:val="16"/>
          <w:szCs w:val="22"/>
        </w:rPr>
        <w:t>, Oscar H. Franco, PhD</w:t>
      </w:r>
      <w:r w:rsidRPr="00DE166A">
        <w:rPr>
          <w:rFonts w:ascii="Arial" w:hAnsi="Arial" w:cs="Arial"/>
          <w:b w:val="0"/>
          <w:bCs w:val="0"/>
          <w:sz w:val="16"/>
          <w:szCs w:val="22"/>
          <w:vertAlign w:val="superscript"/>
        </w:rPr>
        <w:t>1</w:t>
      </w:r>
      <w:r w:rsidRPr="00DE166A">
        <w:rPr>
          <w:rFonts w:ascii="Arial" w:hAnsi="Arial" w:cs="Arial"/>
          <w:b w:val="0"/>
          <w:bCs w:val="0"/>
          <w:sz w:val="16"/>
          <w:szCs w:val="22"/>
        </w:rPr>
        <w:t xml:space="preserve">, Taulant Muka, PhD </w:t>
      </w:r>
      <w:r w:rsidRPr="00DE166A">
        <w:rPr>
          <w:rFonts w:ascii="Arial" w:hAnsi="Arial" w:cs="Arial"/>
          <w:b w:val="0"/>
          <w:bCs w:val="0"/>
          <w:sz w:val="16"/>
          <w:szCs w:val="22"/>
          <w:vertAlign w:val="superscript"/>
        </w:rPr>
        <w:t>1</w:t>
      </w:r>
    </w:p>
    <w:p w:rsidR="0067616D" w:rsidRPr="00DE166A" w:rsidRDefault="0067616D" w:rsidP="0067616D">
      <w:pPr>
        <w:pStyle w:val="Heading1"/>
        <w:shd w:val="clear" w:color="auto" w:fill="FFFFFF"/>
        <w:spacing w:before="0" w:line="276" w:lineRule="auto"/>
        <w:textAlignment w:val="baseline"/>
        <w:rPr>
          <w:rFonts w:ascii="Arial" w:hAnsi="Arial" w:cs="Arial"/>
          <w:sz w:val="16"/>
          <w:szCs w:val="22"/>
          <w:vertAlign w:val="superscript"/>
        </w:rPr>
      </w:pPr>
    </w:p>
    <w:p w:rsidR="0067616D" w:rsidRPr="00DE166A" w:rsidRDefault="0067616D" w:rsidP="0067616D">
      <w:pPr>
        <w:spacing w:line="276" w:lineRule="auto"/>
        <w:jc w:val="both"/>
        <w:rPr>
          <w:rFonts w:ascii="Arial" w:hAnsi="Arial" w:cs="Arial"/>
          <w:sz w:val="16"/>
        </w:rPr>
      </w:pPr>
      <w:r w:rsidRPr="00DE166A">
        <w:rPr>
          <w:rFonts w:ascii="Arial" w:hAnsi="Arial" w:cs="Arial"/>
          <w:sz w:val="16"/>
          <w:vertAlign w:val="superscript"/>
        </w:rPr>
        <w:t>1</w:t>
      </w:r>
      <w:r w:rsidRPr="00DE166A">
        <w:rPr>
          <w:rFonts w:ascii="Arial" w:hAnsi="Arial" w:cs="Arial"/>
          <w:sz w:val="16"/>
        </w:rPr>
        <w:t xml:space="preserve">Department of Epidemiology, Erasmus MC, University Medical Center Rotterdam, The Netherlands </w:t>
      </w:r>
    </w:p>
    <w:p w:rsidR="0067616D" w:rsidRPr="00DE166A" w:rsidRDefault="0067616D" w:rsidP="0067616D">
      <w:pPr>
        <w:spacing w:line="276" w:lineRule="auto"/>
        <w:jc w:val="both"/>
        <w:rPr>
          <w:rFonts w:ascii="Arial" w:hAnsi="Arial" w:cs="Arial"/>
          <w:sz w:val="16"/>
        </w:rPr>
      </w:pPr>
      <w:r w:rsidRPr="00DE166A">
        <w:rPr>
          <w:rFonts w:ascii="Arial" w:hAnsi="Arial" w:cs="Arial"/>
          <w:sz w:val="16"/>
          <w:vertAlign w:val="superscript"/>
          <w:lang w:val="en"/>
        </w:rPr>
        <w:t>2</w:t>
      </w:r>
      <w:r w:rsidRPr="00DE166A">
        <w:rPr>
          <w:rFonts w:ascii="Arial" w:hAnsi="Arial" w:cs="Arial"/>
          <w:sz w:val="16"/>
          <w:shd w:val="clear" w:color="auto" w:fill="FFFFFF"/>
        </w:rPr>
        <w:t xml:space="preserve">Department of Internal Medicine, Division of Vascular Medicine and Pharmacology, </w:t>
      </w:r>
      <w:r w:rsidRPr="00DE166A">
        <w:rPr>
          <w:rFonts w:ascii="Arial" w:hAnsi="Arial" w:cs="Arial"/>
          <w:sz w:val="16"/>
        </w:rPr>
        <w:t>Erasmus MC, University Medical Center Rotterdam, The Netherlands</w:t>
      </w:r>
    </w:p>
    <w:p w:rsidR="0067616D" w:rsidRPr="00DE166A" w:rsidRDefault="0067616D" w:rsidP="0067616D">
      <w:pPr>
        <w:spacing w:line="276" w:lineRule="auto"/>
        <w:jc w:val="both"/>
        <w:rPr>
          <w:rFonts w:ascii="Arial" w:hAnsi="Arial" w:cs="Arial"/>
          <w:sz w:val="16"/>
          <w:lang w:val="en"/>
        </w:rPr>
      </w:pPr>
      <w:r w:rsidRPr="00DE166A">
        <w:rPr>
          <w:rFonts w:ascii="Arial" w:hAnsi="Arial" w:cs="Arial"/>
          <w:sz w:val="16"/>
          <w:vertAlign w:val="superscript"/>
          <w:lang w:val="en"/>
        </w:rPr>
        <w:t>3</w:t>
      </w:r>
      <w:r w:rsidRPr="00DE166A">
        <w:rPr>
          <w:rFonts w:ascii="Arial" w:hAnsi="Arial" w:cs="Arial"/>
          <w:sz w:val="16"/>
          <w:lang w:val="en"/>
        </w:rPr>
        <w:t xml:space="preserve">Medical Library, </w:t>
      </w:r>
      <w:r w:rsidRPr="00DE166A">
        <w:rPr>
          <w:rFonts w:ascii="Arial" w:hAnsi="Arial" w:cs="Arial"/>
          <w:sz w:val="16"/>
        </w:rPr>
        <w:t>Erasmus MC, University Medical Center</w:t>
      </w:r>
      <w:r w:rsidRPr="00DE166A">
        <w:rPr>
          <w:rFonts w:ascii="Arial" w:hAnsi="Arial" w:cs="Arial"/>
          <w:sz w:val="16"/>
          <w:lang w:val="en"/>
        </w:rPr>
        <w:t xml:space="preserve">, Rotterdam, The Netherlands </w:t>
      </w:r>
    </w:p>
    <w:p w:rsidR="0067616D" w:rsidRPr="00DE166A" w:rsidRDefault="0067616D" w:rsidP="0067616D">
      <w:pPr>
        <w:spacing w:line="276" w:lineRule="auto"/>
        <w:jc w:val="both"/>
        <w:rPr>
          <w:rFonts w:ascii="Arial" w:hAnsi="Arial" w:cs="Arial"/>
          <w:sz w:val="16"/>
          <w:lang w:val="en"/>
        </w:rPr>
      </w:pPr>
      <w:r w:rsidRPr="00DE166A">
        <w:rPr>
          <w:rFonts w:ascii="Arial" w:hAnsi="Arial" w:cs="Arial"/>
          <w:sz w:val="16"/>
          <w:vertAlign w:val="superscript"/>
          <w:lang w:val="en"/>
        </w:rPr>
        <w:t>4</w:t>
      </w:r>
      <w:r w:rsidRPr="00DE166A">
        <w:rPr>
          <w:rFonts w:ascii="Arial" w:hAnsi="Arial" w:cs="Arial"/>
          <w:sz w:val="16"/>
          <w:lang w:val="en"/>
        </w:rPr>
        <w:t>Universty of Cambridge</w:t>
      </w:r>
    </w:p>
    <w:p w:rsidR="00AE3E37" w:rsidRPr="00DE166A" w:rsidRDefault="00AE3E37" w:rsidP="0067616D">
      <w:pPr>
        <w:pStyle w:val="Heading1"/>
        <w:spacing w:before="170"/>
        <w:ind w:left="0"/>
        <w:rPr>
          <w:rFonts w:ascii="Arial" w:hAnsi="Arial" w:cs="Arial"/>
          <w:sz w:val="32"/>
        </w:rPr>
      </w:pPr>
    </w:p>
    <w:p w:rsidR="00AE3E37" w:rsidRPr="00DE166A" w:rsidRDefault="00AE3E37">
      <w:pPr>
        <w:rPr>
          <w:rFonts w:ascii="Arial" w:hAnsi="Arial" w:cs="Arial"/>
          <w:sz w:val="21"/>
        </w:rPr>
        <w:sectPr w:rsidR="00AE3E37" w:rsidRPr="00DE166A">
          <w:headerReference w:type="default" r:id="rId8"/>
          <w:footerReference w:type="default" r:id="rId9"/>
          <w:type w:val="continuous"/>
          <w:pgSz w:w="11910" w:h="16840"/>
          <w:pgMar w:top="1740" w:right="600" w:bottom="840" w:left="620" w:header="541" w:footer="642" w:gutter="0"/>
          <w:cols w:space="720"/>
        </w:sectPr>
      </w:pPr>
    </w:p>
    <w:p w:rsidR="00AE3E37" w:rsidRPr="00DE166A" w:rsidRDefault="00A9710C">
      <w:pPr>
        <w:pStyle w:val="Heading3"/>
        <w:spacing w:before="147"/>
        <w:jc w:val="both"/>
        <w:rPr>
          <w:sz w:val="28"/>
        </w:rPr>
      </w:pPr>
      <w:r w:rsidRPr="00DE166A">
        <w:rPr>
          <w:color w:val="BF5A14"/>
          <w:sz w:val="28"/>
        </w:rPr>
        <w:lastRenderedPageBreak/>
        <w:t>Abstract</w:t>
      </w:r>
      <w:r w:rsidR="00404E5B" w:rsidRPr="00DE166A">
        <w:rPr>
          <w:color w:val="BF5A14"/>
          <w:sz w:val="28"/>
        </w:rPr>
        <w:t xml:space="preserve"> </w:t>
      </w:r>
    </w:p>
    <w:p w:rsidR="0067616D" w:rsidRPr="00DE166A" w:rsidRDefault="00596F80" w:rsidP="0067616D">
      <w:pPr>
        <w:spacing w:line="276" w:lineRule="auto"/>
        <w:jc w:val="both"/>
        <w:rPr>
          <w:rFonts w:ascii="Arial" w:hAnsi="Arial" w:cs="Arial"/>
          <w:sz w:val="18"/>
          <w:szCs w:val="18"/>
        </w:rPr>
      </w:pPr>
      <w:r w:rsidRPr="00DE166A">
        <w:rPr>
          <w:rFonts w:ascii="Arial" w:hAnsi="Arial" w:cs="Arial"/>
          <w:sz w:val="18"/>
          <w:szCs w:val="18"/>
        </w:rPr>
        <w:tab/>
      </w:r>
      <w:r w:rsidR="0067616D" w:rsidRPr="00DE166A">
        <w:rPr>
          <w:rFonts w:ascii="Arial" w:hAnsi="Arial" w:cs="Arial"/>
          <w:sz w:val="18"/>
          <w:szCs w:val="18"/>
        </w:rPr>
        <w:t>Phytoestrogens might have advantageous effects on diabetes in women.</w:t>
      </w:r>
      <w:r w:rsidR="0067616D" w:rsidRPr="00DE166A">
        <w:rPr>
          <w:rFonts w:ascii="Arial" w:hAnsi="Arial" w:cs="Arial"/>
          <w:b/>
          <w:sz w:val="18"/>
          <w:szCs w:val="18"/>
        </w:rPr>
        <w:t xml:space="preserve"> </w:t>
      </w:r>
      <w:r w:rsidR="0067616D" w:rsidRPr="00DE166A">
        <w:rPr>
          <w:rFonts w:ascii="Arial" w:hAnsi="Arial" w:cs="Arial"/>
          <w:sz w:val="18"/>
          <w:szCs w:val="18"/>
        </w:rPr>
        <w:t>We performed a systematic review and meta-analysis to</w:t>
      </w:r>
      <w:r w:rsidR="0067616D" w:rsidRPr="00DE166A">
        <w:rPr>
          <w:rFonts w:ascii="Arial" w:hAnsi="Arial" w:cs="Arial"/>
          <w:sz w:val="18"/>
          <w:szCs w:val="18"/>
          <w:lang w:val="en"/>
        </w:rPr>
        <w:t xml:space="preserve"> determine the effect of phytoestrogens on glucose homeostasis and risk of type 2 diabetes (T2D) among women. </w:t>
      </w:r>
      <w:r w:rsidR="0067616D" w:rsidRPr="00DE166A">
        <w:rPr>
          <w:rFonts w:ascii="Arial" w:hAnsi="Arial" w:cs="Arial"/>
          <w:sz w:val="18"/>
          <w:szCs w:val="18"/>
        </w:rPr>
        <w:t xml:space="preserve">Randomized clinical trials (RCT) and prospective observational studies that assessed associations of phytoestrogens (supplementation, dietary intake or biomarkers) with fasting glucose or insulin, homeostatic model assessment of insulin resistance (HOMA-IR), or with risk of T2D were included. </w:t>
      </w:r>
      <w:r w:rsidR="0067616D" w:rsidRPr="00DE166A">
        <w:rPr>
          <w:rFonts w:ascii="Arial" w:hAnsi="Arial" w:cs="Arial"/>
          <w:sz w:val="18"/>
          <w:szCs w:val="18"/>
          <w:lang w:val="en"/>
        </w:rPr>
        <w:t>We identified 18 RCTs (n=</w:t>
      </w:r>
      <w:r w:rsidR="0067616D" w:rsidRPr="00DE166A">
        <w:rPr>
          <w:rFonts w:ascii="Arial" w:hAnsi="Arial" w:cs="Arial"/>
          <w:sz w:val="18"/>
          <w:szCs w:val="18"/>
        </w:rPr>
        <w:t xml:space="preserve">1,687 individuals) </w:t>
      </w:r>
      <w:r w:rsidR="0067616D" w:rsidRPr="00DE166A">
        <w:rPr>
          <w:rFonts w:ascii="Arial" w:hAnsi="Arial" w:cs="Arial"/>
          <w:sz w:val="18"/>
          <w:szCs w:val="18"/>
          <w:lang w:val="en"/>
        </w:rPr>
        <w:t>investigating the effect of phytoestrogen supplementation on glucose homeostasis, and 9 prospective population-based studies (n=</w:t>
      </w:r>
      <w:r w:rsidR="0067616D" w:rsidRPr="00DE166A">
        <w:rPr>
          <w:rFonts w:ascii="Arial" w:hAnsi="Arial" w:cs="Arial"/>
          <w:sz w:val="18"/>
          <w:szCs w:val="18"/>
        </w:rPr>
        <w:t xml:space="preserve">212,796 </w:t>
      </w:r>
      <w:r w:rsidR="0067616D" w:rsidRPr="00DE166A">
        <w:rPr>
          <w:rFonts w:ascii="Arial" w:hAnsi="Arial" w:cs="Arial"/>
          <w:sz w:val="18"/>
          <w:szCs w:val="18"/>
          <w:lang w:val="en"/>
        </w:rPr>
        <w:t>individuals) examining the association between phytoestrogen intake and risk of T2D</w:t>
      </w:r>
      <w:r w:rsidR="0067616D" w:rsidRPr="00DE166A">
        <w:rPr>
          <w:rFonts w:ascii="Arial" w:hAnsi="Arial" w:cs="Arial"/>
          <w:sz w:val="18"/>
          <w:szCs w:val="18"/>
        </w:rPr>
        <w:t xml:space="preserve">. As compared to placebo, phytoestrogen supplementation resulted in improvements in fasting glucose and HOMA-IR, the pooled mean differences of changes were –0.12 </w:t>
      </w:r>
      <w:proofErr w:type="spellStart"/>
      <w:r w:rsidR="0067616D" w:rsidRPr="00DE166A">
        <w:rPr>
          <w:rFonts w:ascii="Arial" w:hAnsi="Arial" w:cs="Arial"/>
          <w:sz w:val="18"/>
          <w:szCs w:val="18"/>
        </w:rPr>
        <w:t>mmol</w:t>
      </w:r>
      <w:proofErr w:type="spellEnd"/>
      <w:r w:rsidR="0067616D" w:rsidRPr="00DE166A">
        <w:rPr>
          <w:rFonts w:ascii="Arial" w:hAnsi="Arial" w:cs="Arial"/>
          <w:sz w:val="18"/>
          <w:szCs w:val="18"/>
        </w:rPr>
        <w:t xml:space="preserve">/L (95% CI -0.20 to -0.03) and -0.24 </w:t>
      </w:r>
      <w:proofErr w:type="spellStart"/>
      <w:r w:rsidR="0067616D" w:rsidRPr="00DE166A">
        <w:rPr>
          <w:rFonts w:ascii="Arial" w:hAnsi="Arial" w:cs="Arial"/>
          <w:sz w:val="18"/>
          <w:szCs w:val="18"/>
        </w:rPr>
        <w:t>microU</w:t>
      </w:r>
      <w:proofErr w:type="spellEnd"/>
      <w:r w:rsidR="0067616D" w:rsidRPr="00DE166A">
        <w:rPr>
          <w:rFonts w:ascii="Arial" w:hAnsi="Arial" w:cs="Arial"/>
          <w:sz w:val="18"/>
          <w:szCs w:val="18"/>
        </w:rPr>
        <w:t>/</w:t>
      </w:r>
      <w:proofErr w:type="spellStart"/>
      <w:r w:rsidR="0067616D" w:rsidRPr="00DE166A">
        <w:rPr>
          <w:rFonts w:ascii="Arial" w:hAnsi="Arial" w:cs="Arial"/>
          <w:sz w:val="18"/>
          <w:szCs w:val="18"/>
        </w:rPr>
        <w:t>mol</w:t>
      </w:r>
      <w:proofErr w:type="spellEnd"/>
      <w:r w:rsidR="0067616D" w:rsidRPr="00DE166A">
        <w:rPr>
          <w:rFonts w:ascii="Arial" w:hAnsi="Arial" w:cs="Arial"/>
          <w:sz w:val="18"/>
          <w:szCs w:val="18"/>
        </w:rPr>
        <w:t xml:space="preserve">/L (95%CI: -0.45 to -0.03) respectively. While there was no significant decrease in insulin levels with overall phytoestrogen supplementation, pooled mean difference of changes was -0.98 </w:t>
      </w:r>
      <w:proofErr w:type="spellStart"/>
      <w:r w:rsidR="0067616D" w:rsidRPr="00DE166A">
        <w:rPr>
          <w:rFonts w:ascii="Arial" w:hAnsi="Arial" w:cs="Arial"/>
          <w:sz w:val="18"/>
          <w:szCs w:val="18"/>
        </w:rPr>
        <w:t>pmol</w:t>
      </w:r>
      <w:proofErr w:type="spellEnd"/>
      <w:r w:rsidR="0067616D" w:rsidRPr="00DE166A">
        <w:rPr>
          <w:rFonts w:ascii="Arial" w:hAnsi="Arial" w:cs="Arial"/>
          <w:sz w:val="18"/>
          <w:szCs w:val="18"/>
        </w:rPr>
        <w:t xml:space="preserve">/L (95%CI: -4.64 to 2.67). However, the results of RCTs would vary by type of phytoestrogens, soy derived </w:t>
      </w:r>
      <w:proofErr w:type="spellStart"/>
      <w:r w:rsidR="0067616D" w:rsidRPr="00DE166A">
        <w:rPr>
          <w:rFonts w:ascii="Arial" w:hAnsi="Arial" w:cs="Arial"/>
          <w:sz w:val="18"/>
          <w:szCs w:val="18"/>
        </w:rPr>
        <w:t>isoflavones</w:t>
      </w:r>
      <w:proofErr w:type="spellEnd"/>
      <w:r w:rsidR="0067616D" w:rsidRPr="00DE166A">
        <w:rPr>
          <w:rFonts w:ascii="Arial" w:hAnsi="Arial" w:cs="Arial"/>
          <w:sz w:val="18"/>
          <w:szCs w:val="18"/>
        </w:rPr>
        <w:t xml:space="preserve"> and </w:t>
      </w:r>
      <w:proofErr w:type="spellStart"/>
      <w:r w:rsidR="0067616D" w:rsidRPr="00DE166A">
        <w:rPr>
          <w:rFonts w:ascii="Arial" w:hAnsi="Arial" w:cs="Arial"/>
          <w:sz w:val="18"/>
          <w:szCs w:val="18"/>
        </w:rPr>
        <w:t>genistein</w:t>
      </w:r>
      <w:proofErr w:type="spellEnd"/>
      <w:r w:rsidR="0067616D" w:rsidRPr="00DE166A">
        <w:rPr>
          <w:rFonts w:ascii="Arial" w:hAnsi="Arial" w:cs="Arial"/>
          <w:sz w:val="18"/>
          <w:szCs w:val="18"/>
        </w:rPr>
        <w:t xml:space="preserve"> improved glucose homeostasis, </w:t>
      </w:r>
      <w:proofErr w:type="spellStart"/>
      <w:r w:rsidR="0067616D" w:rsidRPr="00DE166A">
        <w:rPr>
          <w:rFonts w:ascii="Arial" w:hAnsi="Arial" w:cs="Arial"/>
          <w:sz w:val="18"/>
          <w:szCs w:val="18"/>
        </w:rPr>
        <w:t>isoflavone</w:t>
      </w:r>
      <w:proofErr w:type="spellEnd"/>
      <w:r w:rsidR="0067616D" w:rsidRPr="00DE166A">
        <w:rPr>
          <w:rFonts w:ascii="Arial" w:hAnsi="Arial" w:cs="Arial"/>
          <w:sz w:val="18"/>
          <w:szCs w:val="18"/>
        </w:rPr>
        <w:t xml:space="preserve"> mix and </w:t>
      </w:r>
      <w:proofErr w:type="spellStart"/>
      <w:r w:rsidR="0067616D" w:rsidRPr="00DE166A">
        <w:rPr>
          <w:rFonts w:ascii="Arial" w:hAnsi="Arial" w:cs="Arial"/>
          <w:sz w:val="18"/>
          <w:szCs w:val="18"/>
        </w:rPr>
        <w:t>daidzein</w:t>
      </w:r>
      <w:proofErr w:type="spellEnd"/>
      <w:r w:rsidR="0067616D" w:rsidRPr="00DE166A">
        <w:rPr>
          <w:rFonts w:ascii="Arial" w:hAnsi="Arial" w:cs="Arial"/>
          <w:sz w:val="18"/>
          <w:szCs w:val="18"/>
        </w:rPr>
        <w:t xml:space="preserve"> had no or were associated with adverse glycemic profile. Higher dietary phytoestrogen intake was associated with a 10% lower risk of developing T2D in observational studies (</w:t>
      </w:r>
      <w:r w:rsidR="0067616D" w:rsidRPr="00DE166A">
        <w:rPr>
          <w:rFonts w:ascii="Arial" w:eastAsia="Times New Roman" w:hAnsi="Arial" w:cs="Arial"/>
          <w:sz w:val="18"/>
          <w:szCs w:val="18"/>
        </w:rPr>
        <w:t xml:space="preserve">pooled relative risk; </w:t>
      </w:r>
      <w:r w:rsidR="0067616D" w:rsidRPr="00DE166A">
        <w:rPr>
          <w:rFonts w:ascii="Arial" w:eastAsia="Times New Roman" w:hAnsi="Arial" w:cs="Arial"/>
          <w:sz w:val="18"/>
          <w:szCs w:val="18"/>
          <w:lang w:val="en-GB"/>
        </w:rPr>
        <w:t xml:space="preserve">0.90 [95% CI, 0.85 to 0.96] </w:t>
      </w:r>
      <w:r w:rsidR="0067616D" w:rsidRPr="00DE166A">
        <w:rPr>
          <w:rFonts w:ascii="Arial" w:eastAsia="Times New Roman" w:hAnsi="Arial" w:cs="Arial"/>
          <w:sz w:val="18"/>
          <w:szCs w:val="18"/>
        </w:rPr>
        <w:t xml:space="preserve">for highest versus the lowest quantiles). </w:t>
      </w:r>
      <w:r w:rsidR="0067616D" w:rsidRPr="00DE166A">
        <w:rPr>
          <w:rFonts w:ascii="Arial" w:hAnsi="Arial" w:cs="Arial"/>
          <w:sz w:val="18"/>
          <w:szCs w:val="18"/>
        </w:rPr>
        <w:t xml:space="preserve">Results were similar when the analyses were restricted only to medium and high-quality studies. </w:t>
      </w:r>
      <w:r w:rsidR="0067616D" w:rsidRPr="00DE166A">
        <w:rPr>
          <w:rFonts w:ascii="Arial" w:hAnsi="Arial" w:cs="Arial"/>
          <w:b/>
          <w:sz w:val="18"/>
          <w:szCs w:val="18"/>
          <w:lang w:val="en"/>
        </w:rPr>
        <w:t xml:space="preserve"> </w:t>
      </w:r>
      <w:r w:rsidR="0067616D" w:rsidRPr="00DE166A">
        <w:rPr>
          <w:rFonts w:ascii="Arial" w:hAnsi="Arial" w:cs="Arial"/>
          <w:sz w:val="18"/>
          <w:szCs w:val="18"/>
          <w:lang w:val="en"/>
        </w:rPr>
        <w:t xml:space="preserve">Overall </w:t>
      </w:r>
      <w:r w:rsidR="0067616D" w:rsidRPr="00DE166A">
        <w:rPr>
          <w:rFonts w:ascii="Arial" w:hAnsi="Arial" w:cs="Arial"/>
          <w:sz w:val="18"/>
          <w:szCs w:val="18"/>
        </w:rPr>
        <w:t xml:space="preserve">phytoestrogens may have a positive influence on glycaemia and could be used for diabetes prevention in women. However, for some individual types of phytoestrogens, such as mixed </w:t>
      </w:r>
      <w:proofErr w:type="spellStart"/>
      <w:r w:rsidR="0067616D" w:rsidRPr="00DE166A">
        <w:rPr>
          <w:rFonts w:ascii="Arial" w:hAnsi="Arial" w:cs="Arial"/>
          <w:sz w:val="18"/>
          <w:szCs w:val="18"/>
        </w:rPr>
        <w:t>isoflavones</w:t>
      </w:r>
      <w:proofErr w:type="spellEnd"/>
      <w:r w:rsidR="0067616D" w:rsidRPr="00DE166A">
        <w:rPr>
          <w:rFonts w:ascii="Arial" w:hAnsi="Arial" w:cs="Arial"/>
          <w:sz w:val="18"/>
          <w:szCs w:val="18"/>
        </w:rPr>
        <w:t xml:space="preserve">, caution is needed in demonstrating their use in women, as their use could lead to adverse glycemic profile in women.   </w:t>
      </w:r>
    </w:p>
    <w:p w:rsidR="00DE166A" w:rsidRPr="00DE166A" w:rsidRDefault="00A9710C" w:rsidP="00DE166A">
      <w:pPr>
        <w:pStyle w:val="Heading3"/>
        <w:spacing w:before="74"/>
        <w:ind w:left="0"/>
        <w:rPr>
          <w:b w:val="0"/>
          <w:sz w:val="22"/>
        </w:rPr>
      </w:pPr>
      <w:r w:rsidRPr="00DE166A">
        <w:rPr>
          <w:b w:val="0"/>
        </w:rPr>
        <w:br w:type="column"/>
      </w:r>
      <w:r w:rsidR="00DE166A" w:rsidRPr="00DE166A">
        <w:rPr>
          <w:color w:val="BF5A14"/>
          <w:sz w:val="28"/>
        </w:rPr>
        <w:lastRenderedPageBreak/>
        <w:t>Biography</w:t>
      </w:r>
    </w:p>
    <w:p w:rsidR="00DE166A" w:rsidRDefault="00DE166A" w:rsidP="00DE166A">
      <w:pPr>
        <w:spacing w:before="62"/>
        <w:ind w:right="93"/>
        <w:rPr>
          <w:rFonts w:ascii="Arial" w:hAnsi="Arial" w:cs="Arial"/>
          <w:sz w:val="18"/>
          <w:szCs w:val="18"/>
        </w:rPr>
      </w:pPr>
      <w:bookmarkStart w:id="0" w:name="_GoBack"/>
      <w:bookmarkEnd w:id="0"/>
      <w:r w:rsidRPr="00DE166A">
        <w:rPr>
          <w:rFonts w:ascii="Arial" w:hAnsi="Arial" w:cs="Arial"/>
          <w:b/>
          <w:color w:val="E36C0A" w:themeColor="accent6" w:themeShade="BF"/>
          <w:szCs w:val="18"/>
        </w:rPr>
        <w:t>Marija Glisic</w:t>
      </w:r>
      <w:r>
        <w:rPr>
          <w:rFonts w:ascii="Arial" w:hAnsi="Arial" w:cs="Arial"/>
          <w:sz w:val="18"/>
          <w:szCs w:val="18"/>
        </w:rPr>
        <w:t xml:space="preserve">, email: </w:t>
      </w:r>
      <w:hyperlink r:id="rId10" w:history="1">
        <w:r w:rsidRPr="003E1BBB">
          <w:rPr>
            <w:rStyle w:val="Hyperlink"/>
            <w:rFonts w:ascii="Arial" w:hAnsi="Arial" w:cs="Arial"/>
            <w:sz w:val="18"/>
            <w:szCs w:val="18"/>
          </w:rPr>
          <w:t>m.glisic@erasmusmc.nl</w:t>
        </w:r>
      </w:hyperlink>
    </w:p>
    <w:p w:rsidR="00DE166A" w:rsidRDefault="00DE166A" w:rsidP="00DE166A">
      <w:pPr>
        <w:spacing w:before="62"/>
        <w:ind w:right="93"/>
        <w:rPr>
          <w:rFonts w:ascii="Arial" w:hAnsi="Arial" w:cs="Arial"/>
          <w:sz w:val="18"/>
          <w:szCs w:val="18"/>
        </w:rPr>
      </w:pPr>
    </w:p>
    <w:p w:rsidR="00DE166A" w:rsidRPr="00DE166A" w:rsidRDefault="00DE166A" w:rsidP="00DE166A">
      <w:pPr>
        <w:spacing w:before="62"/>
        <w:ind w:right="-49"/>
        <w:rPr>
          <w:rFonts w:ascii="Arial" w:hAnsi="Arial" w:cs="Arial"/>
          <w:sz w:val="14"/>
        </w:rPr>
      </w:pPr>
      <w:r>
        <w:rPr>
          <w:noProof/>
        </w:rPr>
        <w:drawing>
          <wp:inline distT="0" distB="0" distL="0" distR="0">
            <wp:extent cx="1580083" cy="1814568"/>
            <wp:effectExtent l="0" t="0" r="1270" b="0"/>
            <wp:docPr id="1" name="Picture 1"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5562" cy="1820861"/>
                    </a:xfrm>
                    <a:prstGeom prst="rect">
                      <a:avLst/>
                    </a:prstGeom>
                    <a:noFill/>
                    <a:ln>
                      <a:noFill/>
                    </a:ln>
                  </pic:spPr>
                </pic:pic>
              </a:graphicData>
            </a:graphic>
          </wp:inline>
        </w:drawing>
      </w:r>
    </w:p>
    <w:p w:rsidR="00DE166A" w:rsidRPr="00DE166A" w:rsidRDefault="00DE166A" w:rsidP="0067616D">
      <w:pPr>
        <w:spacing w:line="204" w:lineRule="exact"/>
        <w:rPr>
          <w:rFonts w:ascii="Arial" w:hAnsi="Arial" w:cs="Arial"/>
          <w:sz w:val="14"/>
        </w:rPr>
      </w:pPr>
    </w:p>
    <w:p w:rsidR="00DE166A" w:rsidRPr="00DE166A" w:rsidRDefault="00DE166A" w:rsidP="00DE166A">
      <w:pPr>
        <w:spacing w:line="204" w:lineRule="exact"/>
        <w:rPr>
          <w:rFonts w:ascii="Arial" w:hAnsi="Arial" w:cs="Arial"/>
          <w:sz w:val="14"/>
          <w:szCs w:val="14"/>
        </w:rPr>
      </w:pPr>
      <w:r w:rsidRPr="00DE166A">
        <w:rPr>
          <w:rFonts w:ascii="Arial" w:hAnsi="Arial" w:cs="Arial"/>
          <w:sz w:val="14"/>
          <w:szCs w:val="14"/>
        </w:rPr>
        <w:t xml:space="preserve">Marija Glisic is completing her PhD in Epidemiology and Internal Medicine </w:t>
      </w:r>
      <w:r w:rsidRPr="00DE166A">
        <w:rPr>
          <w:rFonts w:ascii="Arial" w:hAnsi="Arial" w:cs="Arial"/>
          <w:sz w:val="14"/>
          <w:szCs w:val="14"/>
        </w:rPr>
        <w:t xml:space="preserve"> departments  </w:t>
      </w:r>
      <w:r w:rsidRPr="00DE166A">
        <w:rPr>
          <w:rFonts w:ascii="Arial" w:hAnsi="Arial" w:cs="Arial"/>
          <w:sz w:val="14"/>
          <w:szCs w:val="14"/>
        </w:rPr>
        <w:t>at Erasmus Medical Center, Rotterdam, the Netherlands. Her mentor is Dr Oscar H. Franco. She earned her MSc in Clinical Epidemiology at the Netherlands Institute for Health Sciences, while her MD was obtained at the University of Belgrade in Serbia.</w:t>
      </w:r>
    </w:p>
    <w:p w:rsidR="00AE3E37" w:rsidRPr="00DE166A" w:rsidRDefault="00DE166A" w:rsidP="00DE166A">
      <w:pPr>
        <w:spacing w:line="204" w:lineRule="exact"/>
        <w:rPr>
          <w:rFonts w:ascii="Arial" w:hAnsi="Arial" w:cs="Arial"/>
        </w:rPr>
        <w:sectPr w:rsidR="00AE3E37" w:rsidRPr="00DE166A">
          <w:type w:val="continuous"/>
          <w:pgSz w:w="11910" w:h="16840"/>
          <w:pgMar w:top="1740" w:right="600" w:bottom="840" w:left="620" w:header="720" w:footer="720" w:gutter="0"/>
          <w:cols w:num="2" w:space="720" w:equalWidth="0">
            <w:col w:w="5214" w:space="138"/>
            <w:col w:w="5338"/>
          </w:cols>
        </w:sectPr>
      </w:pPr>
      <w:r w:rsidRPr="00DE166A">
        <w:rPr>
          <w:rFonts w:ascii="Arial" w:hAnsi="Arial" w:cs="Arial"/>
          <w:sz w:val="14"/>
          <w:szCs w:val="14"/>
        </w:rPr>
        <w:t xml:space="preserve">Marija is investigating the associations between sex hormones and various </w:t>
      </w:r>
      <w:proofErr w:type="spellStart"/>
      <w:r w:rsidRPr="00DE166A">
        <w:rPr>
          <w:rFonts w:ascii="Arial" w:hAnsi="Arial" w:cs="Arial"/>
          <w:sz w:val="14"/>
          <w:szCs w:val="14"/>
        </w:rPr>
        <w:t>cardiometabolic</w:t>
      </w:r>
      <w:proofErr w:type="spellEnd"/>
      <w:r w:rsidRPr="00DE166A">
        <w:rPr>
          <w:rFonts w:ascii="Arial" w:hAnsi="Arial" w:cs="Arial"/>
          <w:sz w:val="14"/>
          <w:szCs w:val="14"/>
        </w:rPr>
        <w:t xml:space="preserve"> diseases</w:t>
      </w:r>
      <w:r w:rsidRPr="00DE166A">
        <w:rPr>
          <w:rFonts w:ascii="Arial" w:hAnsi="Arial" w:cs="Arial"/>
          <w:sz w:val="14"/>
          <w:szCs w:val="14"/>
        </w:rPr>
        <w:t>, among which type 2 diabetes has a central role</w:t>
      </w:r>
      <w:r w:rsidRPr="00DE166A">
        <w:rPr>
          <w:rFonts w:ascii="Arial" w:hAnsi="Arial" w:cs="Arial"/>
          <w:sz w:val="14"/>
          <w:szCs w:val="14"/>
        </w:rPr>
        <w:t>. She is also involved in several experimental studies in the field of vascular aging. After she completes the PhD in Epidemiology, Marija is planning to pursue a postdoctoral position to further investigate the underlying mechanisms of sex differences previously observed in cardio-metabolic diseases. She hopes to contribute more to the global understanding of gender differences in aging-</w:t>
      </w:r>
      <w:r w:rsidRPr="00DE166A">
        <w:rPr>
          <w:rFonts w:ascii="Arial" w:hAnsi="Arial" w:cs="Arial"/>
          <w:sz w:val="14"/>
          <w:szCs w:val="14"/>
        </w:rPr>
        <w:t xml:space="preserve">associated diseases and help people     to age. </w:t>
      </w:r>
      <w:r w:rsidR="005973B9" w:rsidRPr="00DE166A">
        <w:rPr>
          <w:rFonts w:ascii="Arial" w:hAnsi="Arial" w:cs="Arial"/>
          <w:sz w:val="18"/>
          <w:szCs w:val="18"/>
        </w:rPr>
        <w:br/>
      </w:r>
      <w:r w:rsidR="008756E6" w:rsidRPr="00DE166A">
        <w:rPr>
          <w:rFonts w:ascii="Arial" w:hAnsi="Arial" w:cs="Arial"/>
        </w:rPr>
        <w:t xml:space="preserve">   </w:t>
      </w:r>
    </w:p>
    <w:p w:rsidR="00AE3E37" w:rsidRPr="00DE166A" w:rsidRDefault="00245D0E" w:rsidP="00245D0E">
      <w:pPr>
        <w:spacing w:after="40"/>
        <w:jc w:val="both"/>
        <w:rPr>
          <w:rFonts w:ascii="Arial" w:hAnsi="Arial" w:cs="Arial"/>
          <w:sz w:val="26"/>
        </w:rPr>
      </w:pPr>
      <w:r w:rsidRPr="00245D0E">
        <w:rPr>
          <w:rFonts w:ascii="Arial" w:hAnsi="Arial" w:cs="Arial"/>
          <w:color w:val="E36C0A" w:themeColor="accent6" w:themeShade="BF"/>
          <w:sz w:val="20"/>
          <w:szCs w:val="20"/>
        </w:rPr>
        <w:lastRenderedPageBreak/>
        <w:t>Remarks:</w:t>
      </w:r>
      <w:r w:rsidRPr="00245D0E">
        <w:rPr>
          <w:rFonts w:ascii="Arial" w:hAnsi="Arial" w:cs="Arial"/>
          <w:color w:val="E36C0A" w:themeColor="accent6" w:themeShade="BF"/>
          <w:sz w:val="14"/>
          <w:szCs w:val="16"/>
        </w:rPr>
        <w:t xml:space="preserve"> </w:t>
      </w:r>
      <w:r w:rsidRPr="00245D0E">
        <w:rPr>
          <w:rFonts w:ascii="Arial" w:hAnsi="Arial" w:cs="Arial"/>
          <w:color w:val="000000" w:themeColor="text1"/>
          <w:sz w:val="14"/>
          <w:szCs w:val="16"/>
          <w:lang w:val="en-GB"/>
        </w:rPr>
        <w:t xml:space="preserve">We conducted the first comprehensive systematic review and meta-analysis on </w:t>
      </w:r>
      <w:r w:rsidRPr="00245D0E">
        <w:rPr>
          <w:rFonts w:ascii="Arial" w:hAnsi="Arial" w:cs="Arial"/>
          <w:color w:val="000000" w:themeColor="text1"/>
          <w:sz w:val="14"/>
          <w:szCs w:val="16"/>
          <w:lang w:val="en"/>
        </w:rPr>
        <w:t>the effect of phytoestrogens on glucose homeostasis and risk of T2D in women. Based on 18 clinical trials and 9 prospective observational studies, involving more than</w:t>
      </w:r>
      <w:r w:rsidRPr="00245D0E">
        <w:rPr>
          <w:rFonts w:ascii="Arial" w:eastAsia="SymbolMT" w:hAnsi="Arial" w:cs="Arial"/>
          <w:color w:val="000000" w:themeColor="text1"/>
          <w:sz w:val="14"/>
          <w:szCs w:val="16"/>
        </w:rPr>
        <w:t xml:space="preserve"> 200,000 women, our study shows </w:t>
      </w:r>
      <w:r w:rsidRPr="00245D0E">
        <w:rPr>
          <w:rFonts w:ascii="Arial" w:hAnsi="Arial" w:cs="Arial"/>
          <w:color w:val="000000" w:themeColor="text1"/>
          <w:sz w:val="14"/>
          <w:szCs w:val="16"/>
        </w:rPr>
        <w:t xml:space="preserve">that composite and individual phytoestrogen supplementation in non-diabetic women is associated with a reduction in fasting glucose and insulin levels, as well as an improvement in insulin resistance. </w:t>
      </w:r>
      <w:r w:rsidRPr="00245D0E">
        <w:rPr>
          <w:rFonts w:ascii="Arial" w:hAnsi="Arial" w:cs="Arial"/>
          <w:sz w:val="14"/>
          <w:szCs w:val="16"/>
        </w:rPr>
        <w:t xml:space="preserve">However, the results of RCTs would vary by type of phytoestrogens, soy derived </w:t>
      </w:r>
      <w:proofErr w:type="spellStart"/>
      <w:r w:rsidRPr="00245D0E">
        <w:rPr>
          <w:rFonts w:ascii="Arial" w:hAnsi="Arial" w:cs="Arial"/>
          <w:sz w:val="14"/>
          <w:szCs w:val="16"/>
        </w:rPr>
        <w:t>isoflavones</w:t>
      </w:r>
      <w:proofErr w:type="spellEnd"/>
      <w:r w:rsidRPr="00245D0E">
        <w:rPr>
          <w:rFonts w:ascii="Arial" w:hAnsi="Arial" w:cs="Arial"/>
          <w:sz w:val="14"/>
          <w:szCs w:val="16"/>
        </w:rPr>
        <w:t xml:space="preserve"> and </w:t>
      </w:r>
      <w:proofErr w:type="spellStart"/>
      <w:r w:rsidRPr="00245D0E">
        <w:rPr>
          <w:rFonts w:ascii="Arial" w:hAnsi="Arial" w:cs="Arial"/>
          <w:sz w:val="14"/>
          <w:szCs w:val="16"/>
        </w:rPr>
        <w:t>genistein</w:t>
      </w:r>
      <w:proofErr w:type="spellEnd"/>
      <w:r w:rsidRPr="00245D0E">
        <w:rPr>
          <w:rFonts w:ascii="Arial" w:hAnsi="Arial" w:cs="Arial"/>
          <w:sz w:val="14"/>
          <w:szCs w:val="16"/>
        </w:rPr>
        <w:t xml:space="preserve"> improved glucose homeostasis, </w:t>
      </w:r>
      <w:proofErr w:type="spellStart"/>
      <w:r w:rsidRPr="00245D0E">
        <w:rPr>
          <w:rFonts w:ascii="Arial" w:hAnsi="Arial" w:cs="Arial"/>
          <w:sz w:val="14"/>
          <w:szCs w:val="16"/>
        </w:rPr>
        <w:t>isoflavone</w:t>
      </w:r>
      <w:proofErr w:type="spellEnd"/>
      <w:r w:rsidRPr="00245D0E">
        <w:rPr>
          <w:rFonts w:ascii="Arial" w:hAnsi="Arial" w:cs="Arial"/>
          <w:sz w:val="14"/>
          <w:szCs w:val="16"/>
        </w:rPr>
        <w:t xml:space="preserve"> mix and </w:t>
      </w:r>
      <w:proofErr w:type="spellStart"/>
      <w:r w:rsidRPr="00245D0E">
        <w:rPr>
          <w:rFonts w:ascii="Arial" w:hAnsi="Arial" w:cs="Arial"/>
          <w:sz w:val="14"/>
          <w:szCs w:val="16"/>
        </w:rPr>
        <w:t>daidzein</w:t>
      </w:r>
      <w:proofErr w:type="spellEnd"/>
      <w:r w:rsidRPr="00245D0E">
        <w:rPr>
          <w:rFonts w:ascii="Arial" w:hAnsi="Arial" w:cs="Arial"/>
          <w:sz w:val="14"/>
          <w:szCs w:val="16"/>
        </w:rPr>
        <w:t xml:space="preserve"> had no or were associated with adverse glycemic profile. </w:t>
      </w:r>
      <w:r w:rsidRPr="00245D0E">
        <w:rPr>
          <w:rFonts w:ascii="Arial" w:hAnsi="Arial" w:cs="Arial"/>
          <w:color w:val="000000" w:themeColor="text1"/>
          <w:sz w:val="14"/>
          <w:szCs w:val="16"/>
        </w:rPr>
        <w:t>Moreover, higher dietary phytoestrogen intake was associated with a 10 % decrease in risk of developing T2D</w:t>
      </w:r>
      <w:r w:rsidRPr="00245D0E">
        <w:rPr>
          <w:rFonts w:ascii="Arial" w:hAnsi="Arial" w:cs="Arial"/>
          <w:sz w:val="14"/>
          <w:szCs w:val="16"/>
        </w:rPr>
        <w:t xml:space="preserve">.  We believe </w:t>
      </w:r>
      <w:r w:rsidRPr="00245D0E">
        <w:rPr>
          <w:rFonts w:ascii="Arial" w:eastAsia="MS ??" w:hAnsi="Arial" w:cs="Arial"/>
          <w:sz w:val="14"/>
          <w:szCs w:val="16"/>
          <w:lang w:eastAsia="ja-JP"/>
        </w:rPr>
        <w:t>t</w:t>
      </w:r>
      <w:r w:rsidRPr="00245D0E">
        <w:rPr>
          <w:rFonts w:ascii="Arial" w:hAnsi="Arial" w:cs="Arial"/>
          <w:sz w:val="14"/>
          <w:szCs w:val="16"/>
        </w:rPr>
        <w:t xml:space="preserve">his review may have several clinical and public health implications. Our results on beneficial effects of phytoestrogens in T2D prevention support the current dietary guidelines, as well as health care professionals to offer </w:t>
      </w:r>
      <w:r w:rsidRPr="00245D0E">
        <w:rPr>
          <w:rFonts w:ascii="Arial" w:hAnsi="Arial" w:cs="Arial"/>
          <w:sz w:val="14"/>
          <w:szCs w:val="16"/>
        </w:rPr>
        <w:lastRenderedPageBreak/>
        <w:t xml:space="preserve">advice to encourage the use of foods containing phytoestrogens in women’s diet. Further, given the potentially negative health consequences of hormone replacement therapy on </w:t>
      </w:r>
      <w:proofErr w:type="spellStart"/>
      <w:r w:rsidRPr="00245D0E">
        <w:rPr>
          <w:rFonts w:ascii="Arial" w:hAnsi="Arial" w:cs="Arial"/>
          <w:sz w:val="14"/>
          <w:szCs w:val="16"/>
        </w:rPr>
        <w:t>cardiometabolic</w:t>
      </w:r>
      <w:proofErr w:type="spellEnd"/>
      <w:r w:rsidRPr="00245D0E">
        <w:rPr>
          <w:rFonts w:ascii="Arial" w:hAnsi="Arial" w:cs="Arial"/>
          <w:sz w:val="14"/>
          <w:szCs w:val="16"/>
        </w:rPr>
        <w:t xml:space="preserve"> health, our study indicates that use of phytoestrogen-based remedies as alternative treatment for menopausal symptoms might be a safe choice with regard to </w:t>
      </w:r>
      <w:proofErr w:type="spellStart"/>
      <w:r w:rsidRPr="00245D0E">
        <w:rPr>
          <w:rFonts w:ascii="Arial" w:hAnsi="Arial" w:cs="Arial"/>
          <w:sz w:val="14"/>
          <w:szCs w:val="16"/>
        </w:rPr>
        <w:t>cardiometabolic</w:t>
      </w:r>
      <w:proofErr w:type="spellEnd"/>
      <w:r w:rsidRPr="00245D0E">
        <w:rPr>
          <w:rFonts w:ascii="Arial" w:hAnsi="Arial" w:cs="Arial"/>
          <w:sz w:val="14"/>
          <w:szCs w:val="16"/>
        </w:rPr>
        <w:t xml:space="preserve"> health, and particularly T2D. However, for some individual types of phytoestrogens, such as mixed </w:t>
      </w:r>
      <w:proofErr w:type="spellStart"/>
      <w:r w:rsidRPr="00245D0E">
        <w:rPr>
          <w:rFonts w:ascii="Arial" w:hAnsi="Arial" w:cs="Arial"/>
          <w:sz w:val="14"/>
          <w:szCs w:val="16"/>
        </w:rPr>
        <w:t>isoflavones</w:t>
      </w:r>
      <w:proofErr w:type="spellEnd"/>
      <w:r w:rsidRPr="00245D0E">
        <w:rPr>
          <w:rFonts w:ascii="Arial" w:hAnsi="Arial" w:cs="Arial"/>
          <w:sz w:val="14"/>
          <w:szCs w:val="16"/>
        </w:rPr>
        <w:t xml:space="preserve">, caution is needed in demonstrating their use in women, as their use could lead to adverse glycemic profile.   </w:t>
      </w:r>
    </w:p>
    <w:sectPr w:rsidR="00AE3E37" w:rsidRPr="00DE166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8EA" w:rsidRDefault="007E08EA">
      <w:r>
        <w:separator/>
      </w:r>
    </w:p>
  </w:endnote>
  <w:endnote w:type="continuationSeparator" w:id="0">
    <w:p w:rsidR="007E08EA" w:rsidRDefault="007E0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MT">
    <w:panose1 w:val="00000000000000000000"/>
    <w:charset w:val="80"/>
    <w:family w:val="auto"/>
    <w:notTrueType/>
    <w:pitch w:val="default"/>
    <w:sig w:usb0="00000081" w:usb1="08070000" w:usb2="00000010" w:usb3="00000000" w:csb0="00020008" w:csb1="00000000"/>
  </w:font>
  <w:font w:name="MS ??">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5A9E90A" wp14:editId="125E0CD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D2020E0" wp14:editId="1499F9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20F4CC8" wp14:editId="5001958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8EA" w:rsidRDefault="007E08EA">
      <w:r>
        <w:separator/>
      </w:r>
    </w:p>
  </w:footnote>
  <w:footnote w:type="continuationSeparator" w:id="0">
    <w:p w:rsidR="007E08EA" w:rsidRDefault="007E08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A7C02EF" wp14:editId="628972B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E04071E" wp14:editId="0B91DBC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D0E"/>
    <w:rsid w:val="00292ED9"/>
    <w:rsid w:val="00404E5B"/>
    <w:rsid w:val="00414F7B"/>
    <w:rsid w:val="004355DC"/>
    <w:rsid w:val="004749B4"/>
    <w:rsid w:val="00494130"/>
    <w:rsid w:val="004F3523"/>
    <w:rsid w:val="00596F80"/>
    <w:rsid w:val="005973B9"/>
    <w:rsid w:val="005B3A56"/>
    <w:rsid w:val="006060CE"/>
    <w:rsid w:val="0063497F"/>
    <w:rsid w:val="0067616D"/>
    <w:rsid w:val="007E08EA"/>
    <w:rsid w:val="00873DF0"/>
    <w:rsid w:val="008756E6"/>
    <w:rsid w:val="009B2D44"/>
    <w:rsid w:val="00A07E82"/>
    <w:rsid w:val="00A9710C"/>
    <w:rsid w:val="00AE3E37"/>
    <w:rsid w:val="00B21A57"/>
    <w:rsid w:val="00C33602"/>
    <w:rsid w:val="00CD6F55"/>
    <w:rsid w:val="00DE166A"/>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gif"/><Relationship Id="rId5" Type="http://schemas.openxmlformats.org/officeDocument/2006/relationships/webSettings" Target="webSettings.xml"/><Relationship Id="rId10" Type="http://schemas.openxmlformats.org/officeDocument/2006/relationships/hyperlink" Target="mailto:m.glisic@erasmusmc.nl"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 Glisic</cp:lastModifiedBy>
  <cp:revision>2</cp:revision>
  <dcterms:created xsi:type="dcterms:W3CDTF">2018-03-20T12:32:00Z</dcterms:created>
  <dcterms:modified xsi:type="dcterms:W3CDTF">2018-03-20T12:32:00Z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