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7D5" w:rsidRPr="00B1258A" w:rsidRDefault="00D12FCC" w:rsidP="00B1258A">
      <w:pPr>
        <w:jc w:val="center"/>
        <w:rPr>
          <w:b/>
        </w:rPr>
      </w:pPr>
      <w:r>
        <w:rPr>
          <w:b/>
        </w:rPr>
        <w:t>Novel Approaches for</w:t>
      </w:r>
      <w:r w:rsidR="00B1258A" w:rsidRPr="00B1258A">
        <w:rPr>
          <w:b/>
        </w:rPr>
        <w:t xml:space="preserve"> the Management of Type-2 diabetes in the New Millennium.</w:t>
      </w:r>
    </w:p>
    <w:p w:rsidR="00B1258A" w:rsidRDefault="00B1258A" w:rsidP="00B1258A">
      <w:pPr>
        <w:jc w:val="center"/>
      </w:pPr>
    </w:p>
    <w:p w:rsidR="00B1258A" w:rsidRDefault="00B1258A" w:rsidP="00B1258A">
      <w:pPr>
        <w:jc w:val="center"/>
      </w:pPr>
      <w:r>
        <w:t xml:space="preserve">Gundu H. R. Rao </w:t>
      </w:r>
    </w:p>
    <w:p w:rsidR="00B1258A" w:rsidRDefault="00B1258A" w:rsidP="00B1258A">
      <w:pPr>
        <w:jc w:val="center"/>
      </w:pPr>
    </w:p>
    <w:p w:rsidR="00B1258A" w:rsidRDefault="00B1258A" w:rsidP="00B1258A">
      <w:pPr>
        <w:jc w:val="center"/>
      </w:pPr>
      <w:r>
        <w:t xml:space="preserve">Emeritus Professor, </w:t>
      </w:r>
      <w:r w:rsidR="00812790">
        <w:t xml:space="preserve">Laboratory Medicine and Pathology; Director, Thrombosis Research, </w:t>
      </w:r>
      <w:r>
        <w:t>Lillehei Heart Institute, University of Minnesota</w:t>
      </w:r>
      <w:r w:rsidR="00D77E67">
        <w:t>, Minneapolis, MN, USA.</w:t>
      </w:r>
    </w:p>
    <w:p w:rsidR="00D12FCC" w:rsidRDefault="00D12FCC" w:rsidP="00B1258A">
      <w:pPr>
        <w:jc w:val="center"/>
      </w:pPr>
    </w:p>
    <w:p w:rsidR="00B1258A" w:rsidRDefault="00B1258A" w:rsidP="00B1258A">
      <w:pPr>
        <w:jc w:val="both"/>
      </w:pPr>
    </w:p>
    <w:p w:rsidR="00B1258A" w:rsidRPr="00812790" w:rsidRDefault="00B1258A" w:rsidP="00363F53">
      <w:pPr>
        <w:jc w:val="both"/>
        <w:rPr>
          <w:rFonts w:eastAsia="Times New Roman" w:cs="Times New Roman"/>
          <w:lang w:val="en-IN"/>
        </w:rPr>
      </w:pPr>
      <w:r>
        <w:rPr>
          <w:rFonts w:eastAsia="Times New Roman" w:cs="Times New Roman"/>
          <w:lang w:val="en-IN"/>
        </w:rPr>
        <w:t xml:space="preserve">Non-Communicable Disease Risk </w:t>
      </w:r>
      <w:r w:rsidR="00363F53">
        <w:rPr>
          <w:rFonts w:eastAsia="Times New Roman" w:cs="Times New Roman"/>
          <w:lang w:val="en-IN"/>
        </w:rPr>
        <w:t>Factor Collaboration conducted a study on w</w:t>
      </w:r>
      <w:r w:rsidRPr="00B1258A">
        <w:rPr>
          <w:rFonts w:eastAsia="Times New Roman" w:cs="Times New Roman"/>
          <w:lang w:val="en-IN"/>
        </w:rPr>
        <w:t>orldwide trends in diabetes since 1980: a pooled analysis of 751 population-based studies with 4·4 million participants</w:t>
      </w:r>
      <w:r w:rsidR="00363F53">
        <w:rPr>
          <w:rFonts w:eastAsia="Times New Roman" w:cs="Times New Roman"/>
          <w:lang w:val="en-IN"/>
        </w:rPr>
        <w:t>. Their study concluded that, i</w:t>
      </w:r>
      <w:r w:rsidRPr="00B1258A">
        <w:rPr>
          <w:rFonts w:eastAsia="Times New Roman" w:cs="Times New Roman"/>
          <w:lang w:val="en-IN"/>
        </w:rPr>
        <w:t xml:space="preserve">f post-2000 trends </w:t>
      </w:r>
      <w:r w:rsidR="00EC282F">
        <w:rPr>
          <w:rFonts w:eastAsia="Times New Roman" w:cs="Times New Roman"/>
          <w:lang w:val="en-IN"/>
        </w:rPr>
        <w:t>in the incidence</w:t>
      </w:r>
      <w:bookmarkStart w:id="0" w:name="_GoBack"/>
      <w:bookmarkEnd w:id="0"/>
      <w:r w:rsidR="00EC282F">
        <w:rPr>
          <w:rFonts w:eastAsia="Times New Roman" w:cs="Times New Roman"/>
          <w:lang w:val="en-IN"/>
        </w:rPr>
        <w:t xml:space="preserve"> of diabetes </w:t>
      </w:r>
      <w:r w:rsidRPr="00B1258A">
        <w:rPr>
          <w:rFonts w:eastAsia="Times New Roman" w:cs="Times New Roman"/>
          <w:lang w:val="en-IN"/>
        </w:rPr>
        <w:t xml:space="preserve">continue, the probability of meeting the global target of halting the rise in the prevalence of diabetes by 2025 at the 2010 level worldwide is lower than </w:t>
      </w:r>
      <w:r w:rsidR="00363F53">
        <w:rPr>
          <w:rFonts w:eastAsia="Times New Roman" w:cs="Times New Roman"/>
          <w:lang w:val="en-IN"/>
        </w:rPr>
        <w:t xml:space="preserve">1% for men and is 1% for women (1). Incidence of Type-2 diabetes has doubled worldwide in the last two decades. </w:t>
      </w:r>
      <w:r w:rsidR="00812790">
        <w:rPr>
          <w:rFonts w:eastAsia="Times New Roman" w:cs="Times New Roman"/>
          <w:lang w:val="en-IN"/>
        </w:rPr>
        <w:t xml:space="preserve">No country has reversed the trend in the incidence of excess weight, obesity and type-2 diabetes. In view of this observation we </w:t>
      </w:r>
      <w:r w:rsidR="00D12FCC">
        <w:rPr>
          <w:rFonts w:eastAsia="Times New Roman" w:cs="Times New Roman"/>
          <w:lang w:val="en-IN"/>
        </w:rPr>
        <w:t>are left with the only option;</w:t>
      </w:r>
      <w:r w:rsidR="00812790">
        <w:rPr>
          <w:rFonts w:eastAsia="Times New Roman" w:cs="Times New Roman"/>
          <w:lang w:val="en-IN"/>
        </w:rPr>
        <w:t xml:space="preserve"> developing novel approaches to the management of this chronic metabolic disease. </w:t>
      </w:r>
      <w:r w:rsidR="003D388F">
        <w:rPr>
          <w:rFonts w:eastAsia="Times New Roman" w:cs="Times New Roman"/>
          <w:lang w:val="en-IN"/>
        </w:rPr>
        <w:t>Swedish researchers recently stratified five novel subgroups of adult-onset diabetes. According to their cluster stratification, those belonging to cluster 3 had high incidence of diabetes-related kidney disease and those belonging to cluster 2 had high incidence of retinopathy</w:t>
      </w:r>
      <w:r w:rsidR="00D12FCC">
        <w:rPr>
          <w:rFonts w:eastAsia="Times New Roman" w:cs="Times New Roman"/>
          <w:lang w:val="en-IN"/>
        </w:rPr>
        <w:t xml:space="preserve"> (2)</w:t>
      </w:r>
      <w:r w:rsidR="003D388F">
        <w:rPr>
          <w:rFonts w:eastAsia="Times New Roman" w:cs="Times New Roman"/>
          <w:lang w:val="en-IN"/>
        </w:rPr>
        <w:t>.</w:t>
      </w:r>
      <w:r w:rsidR="00812790">
        <w:rPr>
          <w:rFonts w:eastAsia="Times New Roman" w:cs="Times New Roman"/>
          <w:lang w:val="en-IN"/>
        </w:rPr>
        <w:t xml:space="preserve"> </w:t>
      </w:r>
      <w:r w:rsidR="00812790" w:rsidRPr="009B12F4">
        <w:rPr>
          <w:rFonts w:cs="Times New Roman"/>
        </w:rPr>
        <w:t>American College of Physicians (ACP), in an evidence-based guidance statement have suggested that HBA1c between 7%-8% is okay for most type-2 diabetic patients.</w:t>
      </w:r>
      <w:r w:rsidR="00812790">
        <w:rPr>
          <w:rFonts w:cs="Times New Roman"/>
        </w:rPr>
        <w:t xml:space="preserve"> </w:t>
      </w:r>
      <w:r w:rsidR="00812790" w:rsidRPr="009B12F4">
        <w:rPr>
          <w:rFonts w:cs="Times New Roman"/>
        </w:rPr>
        <w:t>American Diabetes Association (ADA) and American Association of Clinical Endocrinologists do not agree with the higher glycemic control targets recommended by the ACP.</w:t>
      </w:r>
      <w:r w:rsidR="00812790" w:rsidRPr="00812790">
        <w:rPr>
          <w:rFonts w:cs="Times New Roman"/>
          <w:color w:val="000000" w:themeColor="text1"/>
          <w:shd w:val="clear" w:color="auto" w:fill="FFFFFF"/>
        </w:rPr>
        <w:t xml:space="preserve"> </w:t>
      </w:r>
      <w:r w:rsidR="00812790" w:rsidRPr="009B12F4">
        <w:rPr>
          <w:rFonts w:cs="Times New Roman"/>
          <w:color w:val="000000" w:themeColor="text1"/>
          <w:shd w:val="clear" w:color="auto" w:fill="FFFFFF"/>
        </w:rPr>
        <w:t>Moreover, current literature on this topic is ambiguous regarding the benefits of tight glycemic control, which may be at times harmful, costly and hard to achieve.</w:t>
      </w:r>
      <w:r w:rsidR="00812790">
        <w:rPr>
          <w:rFonts w:cs="Times New Roman"/>
          <w:color w:val="000000" w:themeColor="text1"/>
          <w:shd w:val="clear" w:color="auto" w:fill="FFFFFF"/>
        </w:rPr>
        <w:t xml:space="preserve"> We have followed the correlation of fasting glucose, post prandial glucose</w:t>
      </w:r>
      <w:r w:rsidR="00D12FCC">
        <w:rPr>
          <w:rFonts w:cs="Times New Roman"/>
          <w:color w:val="000000" w:themeColor="text1"/>
          <w:shd w:val="clear" w:color="auto" w:fill="FFFFFF"/>
        </w:rPr>
        <w:t>,</w:t>
      </w:r>
      <w:r w:rsidR="00812790">
        <w:rPr>
          <w:rFonts w:cs="Times New Roman"/>
          <w:color w:val="000000" w:themeColor="text1"/>
          <w:shd w:val="clear" w:color="auto" w:fill="FFFFFF"/>
        </w:rPr>
        <w:t xml:space="preserve"> with HBA1c levels in over ten thousand individuals using two different proprietary analytical software. We also have followed </w:t>
      </w:r>
      <w:r w:rsidR="00D12FCC">
        <w:rPr>
          <w:rFonts w:cs="Times New Roman"/>
          <w:color w:val="000000" w:themeColor="text1"/>
          <w:shd w:val="clear" w:color="auto" w:fill="FFFFFF"/>
        </w:rPr>
        <w:t xml:space="preserve">emerging technologies that have been developed for risk assessment, risk prediction, and risk management. Currently, we are validating the advantages of monitoring continuous interstitial glucose over spot check of blood glucose. In this presentation, we will present some of our findings and discuss some novel approaches for the management of type-2 diabetes. </w:t>
      </w:r>
    </w:p>
    <w:p w:rsidR="00363F53" w:rsidRDefault="00363F53" w:rsidP="00363F53">
      <w:pPr>
        <w:jc w:val="both"/>
      </w:pPr>
    </w:p>
    <w:p w:rsidR="00363F53" w:rsidRDefault="00363F53" w:rsidP="00363F53">
      <w:pPr>
        <w:jc w:val="both"/>
      </w:pPr>
    </w:p>
    <w:p w:rsidR="00363F53" w:rsidRDefault="00363F53" w:rsidP="00363F53">
      <w:pPr>
        <w:jc w:val="both"/>
      </w:pPr>
    </w:p>
    <w:p w:rsidR="00363F53" w:rsidRDefault="00363F53" w:rsidP="00363F53">
      <w:r>
        <w:t xml:space="preserve">Reference: </w:t>
      </w:r>
    </w:p>
    <w:p w:rsidR="00363F53" w:rsidRDefault="00363F53" w:rsidP="00363F53">
      <w:pPr>
        <w:rPr>
          <w:rFonts w:eastAsia="Times New Roman" w:cs="Times New Roman"/>
          <w:lang w:val="en-IN"/>
        </w:rPr>
      </w:pPr>
      <w:r>
        <w:t xml:space="preserve">1). </w:t>
      </w:r>
      <w:r w:rsidRPr="00363F53">
        <w:rPr>
          <w:rFonts w:eastAsia="Times New Roman" w:cs="Times New Roman"/>
          <w:lang w:val="en-IN"/>
        </w:rPr>
        <w:t>NCD Risk Factor Collaboration (NCD-</w:t>
      </w:r>
      <w:proofErr w:type="spellStart"/>
      <w:r w:rsidRPr="00363F53">
        <w:rPr>
          <w:rFonts w:eastAsia="Times New Roman" w:cs="Times New Roman"/>
          <w:lang w:val="en-IN"/>
        </w:rPr>
        <w:t>RisC</w:t>
      </w:r>
      <w:proofErr w:type="spellEnd"/>
      <w:r w:rsidRPr="00363F53">
        <w:rPr>
          <w:rFonts w:eastAsia="Times New Roman" w:cs="Times New Roman"/>
          <w:lang w:val="en-IN"/>
        </w:rPr>
        <w:t>)*</w:t>
      </w:r>
      <w:r>
        <w:rPr>
          <w:rFonts w:eastAsia="Times New Roman" w:cs="Times New Roman"/>
          <w:lang w:val="en-IN"/>
        </w:rPr>
        <w:t xml:space="preserve">: The Lancet  387 (10027), p1513-1530, 2016. </w:t>
      </w:r>
      <w:r w:rsidRPr="00363F53">
        <w:rPr>
          <w:rFonts w:ascii="Helvetica" w:eastAsia="Times New Roman" w:hAnsi="Helvetica" w:cs="Times New Roman"/>
          <w:color w:val="333333"/>
          <w:sz w:val="18"/>
          <w:szCs w:val="18"/>
          <w:shd w:val="clear" w:color="auto" w:fill="FFFFFF"/>
          <w:lang w:val="en-IN"/>
        </w:rPr>
        <w:t>DOI: </w:t>
      </w:r>
      <w:hyperlink r:id="rId4" w:history="1">
        <w:r w:rsidRPr="00363F53">
          <w:rPr>
            <w:rFonts w:ascii="Helvetica" w:eastAsia="Times New Roman" w:hAnsi="Helvetica" w:cs="Times New Roman"/>
            <w:color w:val="004480"/>
            <w:sz w:val="18"/>
            <w:szCs w:val="18"/>
            <w:u w:val="single"/>
            <w:shd w:val="clear" w:color="auto" w:fill="FFFFFF"/>
            <w:lang w:val="en-IN"/>
          </w:rPr>
          <w:t>https://doi.org/10.1016/S0140-6736(16)00618-8</w:t>
        </w:r>
      </w:hyperlink>
    </w:p>
    <w:p w:rsidR="00D12FCC" w:rsidRPr="00363F53" w:rsidRDefault="00D12FCC" w:rsidP="00363F53">
      <w:pPr>
        <w:rPr>
          <w:rFonts w:eastAsia="Times New Roman" w:cs="Times New Roman"/>
          <w:lang w:val="en-IN"/>
        </w:rPr>
      </w:pPr>
      <w:r>
        <w:rPr>
          <w:rFonts w:eastAsia="Times New Roman" w:cs="Times New Roman"/>
          <w:lang w:val="en-IN"/>
        </w:rPr>
        <w:t xml:space="preserve">2). </w:t>
      </w:r>
      <w:proofErr w:type="spellStart"/>
      <w:r w:rsidRPr="009B12F4">
        <w:rPr>
          <w:rFonts w:cs="Times New Roman"/>
        </w:rPr>
        <w:t>Ahlqvist</w:t>
      </w:r>
      <w:proofErr w:type="spellEnd"/>
      <w:r w:rsidRPr="009B12F4">
        <w:rPr>
          <w:rFonts w:cs="Times New Roman"/>
        </w:rPr>
        <w:t xml:space="preserve"> E, Strom P, </w:t>
      </w:r>
      <w:proofErr w:type="spellStart"/>
      <w:r w:rsidRPr="009B12F4">
        <w:rPr>
          <w:rFonts w:cs="Times New Roman"/>
        </w:rPr>
        <w:t>Karajamaki</w:t>
      </w:r>
      <w:proofErr w:type="spellEnd"/>
      <w:r w:rsidRPr="009B12F4">
        <w:rPr>
          <w:rFonts w:cs="Times New Roman"/>
        </w:rPr>
        <w:t xml:space="preserve"> A et al: Novel subgroups of adult-onset diabetes and their association with outcomes: a data-driven cluster analysis of six variables. The Lancet Diabetes and Endocrinology.</w:t>
      </w:r>
      <w:r w:rsidRPr="009B12F4">
        <w:rPr>
          <w:rFonts w:cs="Times New Roman"/>
          <w:color w:val="333333"/>
          <w:shd w:val="clear" w:color="auto" w:fill="FFFFFF"/>
        </w:rPr>
        <w:t xml:space="preserve"> </w:t>
      </w:r>
      <w:r w:rsidRPr="009B12F4">
        <w:rPr>
          <w:rFonts w:eastAsia="Times New Roman" w:cs="Times New Roman"/>
          <w:color w:val="333333"/>
          <w:shd w:val="clear" w:color="auto" w:fill="FFFFFF"/>
          <w:lang w:val="en-IN"/>
        </w:rPr>
        <w:t>DOI: </w:t>
      </w:r>
      <w:hyperlink r:id="rId5" w:history="1">
        <w:r w:rsidRPr="009B12F4">
          <w:rPr>
            <w:rFonts w:eastAsia="Times New Roman" w:cs="Times New Roman"/>
            <w:color w:val="004480"/>
            <w:u w:val="single"/>
            <w:shd w:val="clear" w:color="auto" w:fill="FFFFFF"/>
            <w:lang w:val="en-IN"/>
          </w:rPr>
          <w:t>https://doi.org/10.1016/S2213-8587(18)30051-2</w:t>
        </w:r>
      </w:hyperlink>
      <w:r>
        <w:rPr>
          <w:rFonts w:eastAsia="Times New Roman" w:cs="Times New Roman"/>
          <w:color w:val="004480"/>
          <w:u w:val="single"/>
          <w:shd w:val="clear" w:color="auto" w:fill="FFFFFF"/>
          <w:lang w:val="en-IN"/>
        </w:rPr>
        <w:t>.</w:t>
      </w:r>
    </w:p>
    <w:p w:rsidR="00363F53" w:rsidRPr="00363F53" w:rsidRDefault="00363F53" w:rsidP="00363F53">
      <w:pPr>
        <w:rPr>
          <w:rFonts w:eastAsia="Times New Roman" w:cs="Times New Roman"/>
          <w:lang w:val="en-IN"/>
        </w:rPr>
      </w:pPr>
    </w:p>
    <w:p w:rsidR="00363F53" w:rsidRDefault="00363F53" w:rsidP="00363F53">
      <w:pPr>
        <w:jc w:val="both"/>
      </w:pPr>
    </w:p>
    <w:sectPr w:rsidR="00363F53" w:rsidSect="005857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8A"/>
    <w:rsid w:val="00113DFE"/>
    <w:rsid w:val="001612F5"/>
    <w:rsid w:val="00164E9A"/>
    <w:rsid w:val="00173E09"/>
    <w:rsid w:val="002A3F72"/>
    <w:rsid w:val="002F0AAA"/>
    <w:rsid w:val="003433DB"/>
    <w:rsid w:val="00363F53"/>
    <w:rsid w:val="00364C70"/>
    <w:rsid w:val="003D388F"/>
    <w:rsid w:val="003D69F0"/>
    <w:rsid w:val="00435AF9"/>
    <w:rsid w:val="004C2322"/>
    <w:rsid w:val="005330A5"/>
    <w:rsid w:val="005857E6"/>
    <w:rsid w:val="00593E78"/>
    <w:rsid w:val="00596545"/>
    <w:rsid w:val="005B130D"/>
    <w:rsid w:val="005F7D64"/>
    <w:rsid w:val="00623C32"/>
    <w:rsid w:val="0068582C"/>
    <w:rsid w:val="006E2D85"/>
    <w:rsid w:val="00700F79"/>
    <w:rsid w:val="00812790"/>
    <w:rsid w:val="008153B8"/>
    <w:rsid w:val="00832613"/>
    <w:rsid w:val="008A00EE"/>
    <w:rsid w:val="009557A0"/>
    <w:rsid w:val="009E3835"/>
    <w:rsid w:val="00AF2260"/>
    <w:rsid w:val="00AF5F85"/>
    <w:rsid w:val="00B1258A"/>
    <w:rsid w:val="00C900E9"/>
    <w:rsid w:val="00D12FCC"/>
    <w:rsid w:val="00D77E67"/>
    <w:rsid w:val="00D82115"/>
    <w:rsid w:val="00E216E9"/>
    <w:rsid w:val="00E32621"/>
    <w:rsid w:val="00EA099D"/>
    <w:rsid w:val="00EC282F"/>
    <w:rsid w:val="00EE7851"/>
    <w:rsid w:val="00F514FB"/>
    <w:rsid w:val="00F87DCB"/>
    <w:rsid w:val="00F90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7BBC23"/>
  <w14:defaultImageDpi w14:val="32767"/>
  <w15:chartTrackingRefBased/>
  <w15:docId w15:val="{73A6BEF8-23A1-6947-8731-6CD6186A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3F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85747">
      <w:bodyDiv w:val="1"/>
      <w:marLeft w:val="0"/>
      <w:marRight w:val="0"/>
      <w:marTop w:val="0"/>
      <w:marBottom w:val="0"/>
      <w:divBdr>
        <w:top w:val="none" w:sz="0" w:space="0" w:color="auto"/>
        <w:left w:val="none" w:sz="0" w:space="0" w:color="auto"/>
        <w:bottom w:val="none" w:sz="0" w:space="0" w:color="auto"/>
        <w:right w:val="none" w:sz="0" w:space="0" w:color="auto"/>
      </w:divBdr>
    </w:div>
    <w:div w:id="239409089">
      <w:bodyDiv w:val="1"/>
      <w:marLeft w:val="0"/>
      <w:marRight w:val="0"/>
      <w:marTop w:val="0"/>
      <w:marBottom w:val="0"/>
      <w:divBdr>
        <w:top w:val="none" w:sz="0" w:space="0" w:color="auto"/>
        <w:left w:val="none" w:sz="0" w:space="0" w:color="auto"/>
        <w:bottom w:val="none" w:sz="0" w:space="0" w:color="auto"/>
        <w:right w:val="none" w:sz="0" w:space="0" w:color="auto"/>
      </w:divBdr>
    </w:div>
    <w:div w:id="1060833079">
      <w:bodyDiv w:val="1"/>
      <w:marLeft w:val="0"/>
      <w:marRight w:val="0"/>
      <w:marTop w:val="0"/>
      <w:marBottom w:val="0"/>
      <w:divBdr>
        <w:top w:val="none" w:sz="0" w:space="0" w:color="auto"/>
        <w:left w:val="none" w:sz="0" w:space="0" w:color="auto"/>
        <w:bottom w:val="none" w:sz="0" w:space="0" w:color="auto"/>
        <w:right w:val="none" w:sz="0" w:space="0" w:color="auto"/>
      </w:divBdr>
    </w:div>
    <w:div w:id="1435125231">
      <w:bodyDiv w:val="1"/>
      <w:marLeft w:val="0"/>
      <w:marRight w:val="0"/>
      <w:marTop w:val="0"/>
      <w:marBottom w:val="0"/>
      <w:divBdr>
        <w:top w:val="none" w:sz="0" w:space="0" w:color="auto"/>
        <w:left w:val="none" w:sz="0" w:space="0" w:color="auto"/>
        <w:bottom w:val="none" w:sz="0" w:space="0" w:color="auto"/>
        <w:right w:val="none" w:sz="0" w:space="0" w:color="auto"/>
      </w:divBdr>
    </w:div>
    <w:div w:id="186740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S2213-8587(18)30051-2" TargetMode="External"/><Relationship Id="rId4" Type="http://schemas.openxmlformats.org/officeDocument/2006/relationships/hyperlink" Target="https://doi.org/10.1016/S0140-6736(16)0061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Gundu Rao</dc:creator>
  <cp:keywords/>
  <dc:description/>
  <cp:lastModifiedBy>Gundu Rao</cp:lastModifiedBy>
  <cp:revision>3</cp:revision>
  <dcterms:created xsi:type="dcterms:W3CDTF">2018-03-16T11:53:00Z</dcterms:created>
  <dcterms:modified xsi:type="dcterms:W3CDTF">2018-03-17T03:17:00Z</dcterms:modified>
</cp:coreProperties>
</file>