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Intestazione"/>
        <w:spacing w:before="170"/>
        <w:ind w:left="0" w:firstLine="0"/>
      </w:pPr>
      <w:r>
        <w:rPr>
          <w:rStyle w:val="Nessuno"/>
          <w:rtl w:val="0"/>
          <w:lang w:val="en-US"/>
        </w:rPr>
        <w:t>D</w:t>
      </w:r>
      <w:r>
        <w:rPr>
          <w:rStyle w:val="Nessuno"/>
          <w:rtl w:val="0"/>
          <w:lang w:val="en-US"/>
        </w:rPr>
        <w:t>iabetes and cataract in</w:t>
      </w:r>
      <w:r>
        <w:rPr>
          <w:rStyle w:val="Nessuno"/>
          <w:rtl w:val="0"/>
          <w:lang w:val="en-US"/>
        </w:rPr>
        <w:t xml:space="preserve"> </w:t>
      </w:r>
      <w:r>
        <w:rPr>
          <w:rStyle w:val="Nessuno"/>
          <w:rtl w:val="0"/>
          <w:lang w:val="en-US"/>
        </w:rPr>
        <w:t>low- and middle-income countries</w:t>
      </w:r>
      <w:r>
        <w:rPr>
          <w:rStyle w:val="Nessuno"/>
          <w:color w:val="337ab7"/>
          <w:u w:color="337ab7"/>
        </w:rPr>
        <w:br w:type="textWrapping"/>
      </w:r>
    </w:p>
    <w:p>
      <w:pPr>
        <w:pStyle w:val="Body Text"/>
        <w:rPr>
          <w:rStyle w:val="Nessuno"/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rtl w:val="0"/>
          <w:lang w:val="it-IT"/>
        </w:rPr>
        <w:t>Operative Research Unit, Doctors with Africa, Mozambique</w:t>
      </w:r>
    </w:p>
    <w:p>
      <w:pPr>
        <w:pStyle w:val="Body Text"/>
        <w:spacing w:before="3"/>
        <w:rPr>
          <w:rFonts w:ascii="Arial" w:cs="Arial" w:hAnsi="Arial" w:eastAsia="Arial"/>
          <w:sz w:val="21"/>
          <w:szCs w:val="21"/>
        </w:rPr>
      </w:pPr>
    </w:p>
    <w:p>
      <w:pPr>
        <w:pStyle w:val="Corpo"/>
        <w:sectPr>
          <w:headerReference w:type="default" r:id="rId4"/>
          <w:footerReference w:type="default" r:id="rId5"/>
          <w:pgSz w:w="11920" w:h="16840" w:orient="portrait"/>
          <w:pgMar w:top="1740" w:right="600" w:bottom="840" w:left="620" w:header="541" w:footer="642"/>
          <w:bidi w:val="0"/>
        </w:sectPr>
      </w:pPr>
    </w:p>
    <w:p>
      <w:pPr>
        <w:pStyle w:val="Intestazione 3"/>
        <w:spacing w:before="147"/>
        <w:jc w:val="both"/>
      </w:pPr>
      <w:r>
        <w:rPr>
          <w:rStyle w:val="Nessuno"/>
          <w:color w:val="bf5a14"/>
          <w:u w:color="bf5a14"/>
          <w:rtl w:val="0"/>
          <w:lang w:val="de-DE"/>
        </w:rPr>
        <w:t>Abstract</w:t>
      </w:r>
    </w:p>
    <w:p>
      <w:pPr>
        <w:pStyle w:val="Intestazione 3"/>
        <w:rPr>
          <w:rStyle w:val="Nessuno"/>
          <w:rFonts w:ascii="Times New Roman" w:cs="Times New Roman" w:hAnsi="Times New Roman" w:eastAsia="Times New Roman"/>
          <w:b w:val="0"/>
          <w:bCs w:val="0"/>
          <w:lang w:val="it-IT"/>
        </w:rPr>
      </w:pPr>
      <w:r>
        <w:rPr>
          <w:rStyle w:val="Nessuno"/>
          <w:rFonts w:ascii="Tw Cen MT" w:cs="Tw Cen MT" w:hAnsi="Tw Cen MT" w:eastAsia="Tw Cen MT"/>
          <w:b w:val="0"/>
          <w:bCs w:val="0"/>
          <w:sz w:val="18"/>
          <w:szCs w:val="18"/>
        </w:rPr>
        <w:tab/>
      </w:r>
      <w:r>
        <w:rPr>
          <w:rStyle w:val="Nessuno"/>
          <w:rFonts w:ascii="Times New Roman" w:hAnsi="Times New Roman"/>
          <w:rtl w:val="0"/>
          <w:lang w:val="en-US"/>
        </w:rPr>
        <w:t>Background:</w:t>
      </w:r>
      <w:r>
        <w:rPr>
          <w:rStyle w:val="Nessuno"/>
          <w:rFonts w:ascii="Times New Roman" w:hAnsi="Times New Roman"/>
          <w:b w:val="0"/>
          <w:bCs w:val="0"/>
          <w:rtl w:val="0"/>
          <w:lang w:val="en-US"/>
        </w:rPr>
        <w:t xml:space="preserve"> In people with diabetes,  cataract is a major cause of visual impairment with a three to four-fold increased risk of cataract in patients with diabetes under the age of 65, and up to a two-fold excess risk in patients above 65</w:t>
      </w:r>
      <w:r>
        <w:rPr>
          <w:rStyle w:val="Nessuno"/>
          <w:rFonts w:ascii="Times New Roman" w:hAnsi="Times New Roman"/>
          <w:b w:val="0"/>
          <w:bCs w:val="0"/>
          <w:rtl w:val="0"/>
          <w:lang w:val="it-IT"/>
        </w:rPr>
        <w:t>. On the one hand, c</w:t>
      </w:r>
      <w:r>
        <w:rPr>
          <w:rStyle w:val="Nessuno"/>
          <w:rFonts w:ascii="Times New Roman" w:hAnsi="Times New Roman"/>
          <w:b w:val="0"/>
          <w:bCs w:val="0"/>
          <w:rtl w:val="0"/>
          <w:lang w:val="it-IT"/>
        </w:rPr>
        <w:t>ataract has a particularly devastating consequence in low and middle-income countries where it remains the leading cause of blindness, accounting for 50% of blindness</w:t>
      </w:r>
      <w:r>
        <w:rPr>
          <w:rStyle w:val="Nessuno"/>
          <w:rFonts w:ascii="Times New Roman" w:hAnsi="Times New Roman"/>
          <w:b w:val="0"/>
          <w:bCs w:val="0"/>
          <w:rtl w:val="0"/>
          <w:lang w:val="it-IT"/>
        </w:rPr>
        <w:t xml:space="preserve">. On the other hand, in low and middle-income countries diabetes </w:t>
      </w:r>
      <w:r>
        <w:rPr>
          <w:rStyle w:val="Nessuno"/>
          <w:rFonts w:ascii="Times New Roman" w:hAnsi="Times New Roman"/>
          <w:b w:val="0"/>
          <w:bCs w:val="0"/>
          <w:rtl w:val="0"/>
          <w:lang w:val="en-US"/>
        </w:rPr>
        <w:t>has reached epidemic levels but prevention, diagnosis, and treatment</w:t>
      </w:r>
      <w:r>
        <w:rPr>
          <w:rStyle w:val="Nessuno"/>
          <w:rFonts w:ascii="Times New Roman" w:hAnsi="Times New Roman"/>
          <w:b w:val="0"/>
          <w:bCs w:val="0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b w:val="0"/>
          <w:bCs w:val="0"/>
          <w:rtl w:val="0"/>
          <w:lang w:val="en-US"/>
        </w:rPr>
        <w:t>are generally inadequate</w:t>
      </w:r>
      <w:r>
        <w:rPr>
          <w:rStyle w:val="Nessuno"/>
          <w:rFonts w:ascii="Times New Roman" w:hAnsi="Times New Roman"/>
          <w:b w:val="0"/>
          <w:bCs w:val="0"/>
          <w:rtl w:val="0"/>
          <w:lang w:val="it-IT"/>
        </w:rPr>
        <w:t>.</w:t>
      </w:r>
    </w:p>
    <w:p>
      <w:pPr>
        <w:pStyle w:val="Corpo A"/>
        <w:spacing w:line="240" w:lineRule="auto"/>
        <w:rPr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en-US"/>
        </w:rPr>
        <w:t>Methods: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 </w:t>
      </w:r>
      <w:r>
        <w:rPr>
          <w:sz w:val="20"/>
          <w:szCs w:val="20"/>
          <w:rtl w:val="0"/>
          <w:lang w:val="it-IT"/>
        </w:rPr>
        <w:t>We performed a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it-IT"/>
        </w:rPr>
        <w:t>c</w:t>
      </w:r>
      <w:r>
        <w:rPr>
          <w:sz w:val="20"/>
          <w:szCs w:val="20"/>
          <w:rtl w:val="0"/>
          <w:lang w:val="en-US"/>
        </w:rPr>
        <w:t>ross-sectional, community-based data from the Study on Global Ageing and Adult Health (SAGE)</w:t>
      </w:r>
      <w:r>
        <w:rPr>
          <w:sz w:val="20"/>
          <w:szCs w:val="20"/>
          <w:rtl w:val="0"/>
          <w:lang w:val="it-IT"/>
        </w:rPr>
        <w:t xml:space="preserve"> </w:t>
      </w:r>
      <w:r>
        <w:rPr>
          <w:sz w:val="20"/>
          <w:szCs w:val="20"/>
          <w:rtl w:val="0"/>
          <w:lang w:val="en-US"/>
        </w:rPr>
        <w:t>analyz</w:t>
      </w:r>
      <w:r>
        <w:rPr>
          <w:sz w:val="20"/>
          <w:szCs w:val="20"/>
          <w:rtl w:val="0"/>
          <w:lang w:val="it-IT"/>
        </w:rPr>
        <w:t>ing</w:t>
      </w:r>
      <w:r>
        <w:rPr>
          <w:sz w:val="20"/>
          <w:szCs w:val="20"/>
          <w:rtl w:val="0"/>
          <w:lang w:val="en-US"/>
        </w:rPr>
        <w:t xml:space="preserve"> (n=42,469 adults aged </w:t>
      </w:r>
      <w:r>
        <w:rPr>
          <w:sz w:val="20"/>
          <w:szCs w:val="20"/>
          <w:rtl w:val="0"/>
          <w:lang w:val="en-US"/>
        </w:rPr>
        <w:t>≥</w:t>
      </w:r>
      <w:r>
        <w:rPr>
          <w:sz w:val="20"/>
          <w:szCs w:val="20"/>
          <w:rtl w:val="0"/>
          <w:lang w:val="en-US"/>
        </w:rPr>
        <w:t>18 years). Information on self-reported diagnosis of cataract in the past five years was collected. Three definitions for cataract were used: (a) Self-reported diagnosis and/or past 12-month symptoms; (b) Solely self-reported diagnosis; and (c) Surgical treatment for cataract in the past five years. Diabetes was based on self-reported diagnosis. Multivariable logistic regression was conducted to assess the associations.</w:t>
      </w:r>
    </w:p>
    <w:p>
      <w:pPr>
        <w:pStyle w:val="Corpo A"/>
        <w:spacing w:line="240" w:lineRule="auto"/>
        <w:rPr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en-US"/>
        </w:rPr>
        <w:t xml:space="preserve">Results: </w:t>
      </w:r>
      <w:r>
        <w:rPr>
          <w:sz w:val="20"/>
          <w:szCs w:val="20"/>
          <w:rtl w:val="0"/>
          <w:lang w:val="en-US"/>
        </w:rPr>
        <w:t xml:space="preserve">Overall, the prevalence of diabetes was 3.1% (95%CI=2.7%-3.5%) and that of cataract based on the three different definitions was: (a) 13.3% (95%CI=12.4%-14.3%); (b) 4.4% (95%CI=3.9%-4.8%), (c) 1.7% (95%CI=1.5%-2.0%). After adjustment for potential confounders, diabetes was associated with a significantly elevated odds for cataract: (a) OR=2.10 (95%CI=1.59-2.76); (b) OR=2.62 (95%CI=2.00-3.42); (c) OR=2.80 (95%CI=1.78-4.40). These associations were particularly pronounced among those aged &lt;50 years. </w:t>
      </w:r>
    </w:p>
    <w:p>
      <w:pPr>
        <w:pStyle w:val="Corpo A"/>
        <w:spacing w:line="240" w:lineRule="auto"/>
        <w:rPr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fr-FR"/>
        </w:rPr>
        <w:t>Conclusions:</w:t>
      </w:r>
      <w:r>
        <w:rPr>
          <w:rStyle w:val="Nessuno"/>
          <w:b w:val="1"/>
          <w:bCs w:val="1"/>
          <w:sz w:val="20"/>
          <w:szCs w:val="20"/>
          <w:rtl w:val="0"/>
          <w:lang w:val="en-US"/>
        </w:rPr>
        <w:t xml:space="preserve"> </w:t>
      </w:r>
      <w:r>
        <w:rPr>
          <w:rStyle w:val="Nessuno"/>
          <w:sz w:val="20"/>
          <w:szCs w:val="20"/>
          <w:rtl w:val="0"/>
          <w:lang w:val="en-US"/>
        </w:rPr>
        <w:t xml:space="preserve">A strong association between diabetes and cataract was observed in </w:t>
      </w:r>
      <w:r>
        <w:rPr>
          <w:rStyle w:val="Nessuno"/>
          <w:sz w:val="20"/>
          <w:szCs w:val="20"/>
          <w:rtl w:val="0"/>
          <w:lang w:val="it-IT"/>
        </w:rPr>
        <w:t xml:space="preserve">in low and middle-income countries and, </w:t>
      </w:r>
      <w:r>
        <w:rPr>
          <w:rStyle w:val="Nessuno"/>
          <w:sz w:val="20"/>
          <w:szCs w:val="20"/>
          <w:rtl w:val="0"/>
          <w:lang w:val="en-US"/>
        </w:rPr>
        <w:t xml:space="preserve">considering the increasing prevalence of </w:t>
      </w:r>
      <w:r>
        <w:rPr>
          <w:rStyle w:val="Nessuno"/>
          <w:sz w:val="20"/>
          <w:szCs w:val="20"/>
          <w:rtl w:val="0"/>
          <w:lang w:val="it-IT"/>
        </w:rPr>
        <w:t>diabetes,</w:t>
      </w:r>
      <w:r>
        <w:rPr>
          <w:rStyle w:val="Nessuno"/>
          <w:sz w:val="20"/>
          <w:szCs w:val="20"/>
          <w:rtl w:val="0"/>
          <w:lang w:val="en-US"/>
        </w:rPr>
        <w:t xml:space="preserve"> it is mandatory to introduce health policies for prevention, early diagnosis, and treatment, as well as its complications such as vision diseases. Since </w:t>
      </w:r>
      <w:r>
        <w:rPr>
          <w:rStyle w:val="Nessuno"/>
          <w:sz w:val="20"/>
          <w:szCs w:val="20"/>
          <w:rtl w:val="0"/>
          <w:lang w:val="it-IT"/>
        </w:rPr>
        <w:t>diabetes</w:t>
      </w:r>
      <w:r>
        <w:rPr>
          <w:rStyle w:val="Nessuno"/>
          <w:sz w:val="20"/>
          <w:szCs w:val="20"/>
          <w:rtl w:val="0"/>
          <w:lang w:val="en-US"/>
        </w:rPr>
        <w:t xml:space="preserve"> is a chronic disease requiring therapy compliance and adequate follow up in order to obtain effective long-term control, it will be crucial to organize a multidisciplinary approach which takes into account of all aspects of comorbidity</w:t>
      </w:r>
      <w:r>
        <w:rPr>
          <w:rStyle w:val="Nessuno"/>
          <w:sz w:val="20"/>
          <w:szCs w:val="20"/>
          <w:rtl w:val="0"/>
          <w:lang w:val="it-IT"/>
        </w:rPr>
        <w:t>.</w:t>
      </w:r>
    </w:p>
    <w:p>
      <w:pPr>
        <w:pStyle w:val="Intestazione 3"/>
        <w:spacing w:before="74"/>
      </w:pP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column"/>
      </w:r>
    </w:p>
    <w:p>
      <w:pPr>
        <w:pStyle w:val="Intestazione 3"/>
        <w:spacing w:before="74"/>
        <w:rPr>
          <w:rStyle w:val="Nessuno"/>
          <w:b w:val="0"/>
          <w:bCs w:val="0"/>
          <w:sz w:val="16"/>
          <w:szCs w:val="16"/>
        </w:rPr>
      </w:pPr>
      <w:r>
        <w:rPr>
          <w:rStyle w:val="Nessuno"/>
          <w:b w:val="0"/>
          <w:bCs w:val="0"/>
          <w:sz w:val="16"/>
          <w:szCs w:val="16"/>
          <w:rtl w:val="0"/>
        </w:rPr>
        <w:t xml:space="preserve"> </w:t>
      </w:r>
    </w:p>
    <w:p>
      <w:pPr>
        <w:pStyle w:val="Corpo"/>
        <w:spacing w:line="204" w:lineRule="exact"/>
      </w:pP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color w:val="bf5a14"/>
          <w:sz w:val="20"/>
          <w:szCs w:val="20"/>
          <w:u w:color="bf5a14"/>
        </w:rPr>
        <w:br w:type="textWrapping"/>
      </w:r>
    </w:p>
    <w:p>
      <w:pPr>
        <w:pStyle w:val="Corpo"/>
        <w:spacing w:line="200" w:lineRule="exact"/>
        <w:jc w:val="both"/>
        <w:sectPr>
          <w:type w:val="continuous"/>
          <w:pgSz w:w="11920" w:h="16840" w:orient="portrait"/>
          <w:pgMar w:top="1740" w:right="600" w:bottom="840" w:left="620" w:header="541" w:footer="642"/>
          <w:cols w:num="2" w:equalWidth="0">
            <w:col w:w="5229" w:space="138"/>
            <w:col w:w="5353" w:space="0"/>
          </w:cols>
          <w:bidi w:val="0"/>
        </w:sectPr>
      </w:pPr>
      <w:r>
        <w:rPr>
          <w:rStyle w:val="Nessuno"/>
          <w:rFonts w:ascii="Calibri" w:cs="Calibri" w:hAnsi="Calibri" w:eastAsia="Calibri"/>
          <w:rtl w:val="0"/>
        </w:rPr>
        <w:t xml:space="preserve">   </w:t>
      </w:r>
    </w:p>
    <w:p>
      <w:pPr>
        <w:pStyle w:val="Body Text"/>
        <w:rPr>
          <w:rFonts w:ascii="Calibri" w:cs="Calibri" w:hAnsi="Calibri" w:eastAsia="Calibri"/>
          <w:sz w:val="20"/>
          <w:szCs w:val="20"/>
        </w:rPr>
      </w:pPr>
    </w:p>
    <w:p>
      <w:pPr>
        <w:pStyle w:val="Body Text"/>
        <w:spacing w:line="40" w:lineRule="exact"/>
        <w:ind w:left="2202" w:firstLine="0"/>
        <w:rPr>
          <w:rStyle w:val="Nessuno"/>
          <w:rFonts w:ascii="Calibri" w:cs="Calibri" w:hAnsi="Calibri" w:eastAsia="Calibri"/>
          <w:sz w:val="4"/>
          <w:szCs w:val="4"/>
        </w:rPr>
      </w:pPr>
      <w:r>
        <w:rPr>
          <w:rStyle w:val="Nessuno"/>
          <w:rFonts w:ascii="Calibri" w:cs="Calibri" w:hAnsi="Calibri" w:eastAsia="Calibri"/>
          <w:sz w:val="4"/>
          <w:szCs w:val="4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Corpo"/>
        <w:ind w:right="4234"/>
        <w:rPr>
          <w:rStyle w:val="Nessuno"/>
          <w:rFonts w:ascii="Arial" w:cs="Arial" w:hAnsi="Arial" w:eastAsia="Arial"/>
          <w:sz w:val="20"/>
          <w:szCs w:val="20"/>
        </w:rPr>
      </w:pPr>
      <w:r>
        <w:rPr>
          <w:sz w:val="20"/>
          <w:szCs w:val="20"/>
          <w:rtl w:val="0"/>
        </w:rPr>
        <w:t xml:space="preserve">              </w:t>
      </w:r>
    </w:p>
    <w:p>
      <w:pPr>
        <w:pStyle w:val="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05"/>
        </w:tabs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:lang w:val="it-IT"/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</w:rPr>
        <w:t xml:space="preserve">Pizzol Damiano 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</w:rPr>
        <w:t>MD, PhD</w:t>
      </w:r>
    </w:p>
    <w:p>
      <w:pPr>
        <w:pStyle w:val="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05"/>
        </w:tabs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:lang w:val="it-IT"/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>Head of  Operational Research Unit on behalf of Doctors with Africa in Mozambique since 2015 and coordinator for Sofala provinces from 2017.</w:t>
      </w:r>
    </w:p>
    <w:p>
      <w:pPr>
        <w:pStyle w:val="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05"/>
        </w:tabs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:lang w:val="it-IT"/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 xml:space="preserve">From 2017 editor of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>Journal of Clinical and Experimental Endocrinology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>.</w:t>
      </w:r>
    </w:p>
    <w:p>
      <w:pPr>
        <w:pStyle w:val="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05"/>
        </w:tabs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:lang w:val="it-IT"/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>He obtained the PhD on Endocrinology, Metabolism and Andrological Sciences in 2013 winning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 xml:space="preserve"> the Thesis Award 2014 at Sapienza University in Rome. </w:t>
      </w:r>
    </w:p>
    <w:p>
      <w:pPr>
        <w:pStyle w:val="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05"/>
        </w:tabs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:lang w:val="it-IT"/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 xml:space="preserve">He won the 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</w:rPr>
        <w:t>“</w:t>
      </w:r>
      <w:r>
        <w:rPr>
          <w:rStyle w:val="Nessuno"/>
          <w:rFonts w:ascii="Times New Roman" w:hAnsi="Times New Roman"/>
          <w:spacing w:val="-5"/>
          <w:kern w:val="1"/>
          <w:sz w:val="20"/>
          <w:szCs w:val="20"/>
          <w:rtl w:val="0"/>
          <w:lang w:val="it-IT"/>
        </w:rPr>
        <w:t>Award for excellence in biomedical research</w:t>
      </w:r>
      <w:r>
        <w:rPr>
          <w:rStyle w:val="Nessuno"/>
          <w:rFonts w:ascii="Times New Roman" w:hAnsi="Times New Roman" w:hint="default"/>
          <w:spacing w:val="-5"/>
          <w:kern w:val="1"/>
          <w:sz w:val="20"/>
          <w:szCs w:val="20"/>
          <w:rtl w:val="0"/>
          <w:lang w:val="it-IT"/>
        </w:rPr>
        <w:t xml:space="preserve">” </w:t>
      </w:r>
      <w:r>
        <w:rPr>
          <w:rStyle w:val="Nessuno"/>
          <w:rFonts w:ascii="Times New Roman" w:hAnsi="Times New Roman"/>
          <w:spacing w:val="-5"/>
          <w:kern w:val="1"/>
          <w:sz w:val="20"/>
          <w:szCs w:val="20"/>
          <w:rtl w:val="0"/>
          <w:lang w:val="it-IT"/>
        </w:rPr>
        <w:t>of</w:t>
      </w:r>
      <w:r>
        <w:rPr>
          <w:rStyle w:val="Nessuno"/>
          <w:rFonts w:ascii="Times New Roman" w:hAnsi="Times New Roman"/>
          <w:spacing w:val="-5"/>
          <w:kern w:val="1"/>
          <w:sz w:val="20"/>
          <w:szCs w:val="20"/>
          <w:rtl w:val="0"/>
          <w:lang w:val="it-IT"/>
        </w:rPr>
        <w:t xml:space="preserve"> Foresta Foundation</w:t>
      </w:r>
      <w:r>
        <w:rPr>
          <w:rStyle w:val="Nessuno"/>
          <w:rFonts w:ascii="Times New Roman" w:hAnsi="Times New Roman"/>
          <w:spacing w:val="-5"/>
          <w:kern w:val="1"/>
          <w:sz w:val="20"/>
          <w:szCs w:val="20"/>
          <w:rtl w:val="0"/>
          <w:lang w:val="it-IT"/>
        </w:rPr>
        <w:t xml:space="preserve"> and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 xml:space="preserve"> from 2014 to 2015 he was research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>f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>ellow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 xml:space="preserve"> at the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>Department of Medicine, University of Padua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 xml:space="preserve">. </w:t>
      </w:r>
    </w:p>
    <w:p>
      <w:pPr>
        <w:pStyle w:val="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05"/>
        </w:tabs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:lang w:val="it-IT"/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>He has more than fifty publications in international, peer-review journals.</w:t>
      </w:r>
    </w:p>
    <w:p>
      <w:pPr>
        <w:pStyle w:val="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05"/>
        </w:tabs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:lang w:val="it-IT"/>
        </w:rPr>
      </w:pPr>
    </w:p>
    <w:p>
      <w:pPr>
        <w:pStyle w:val="Corpo"/>
        <w:ind w:right="4235"/>
        <w:rPr>
          <w:rStyle w:val="Nessuno"/>
          <w:rFonts w:ascii="Arial" w:cs="Arial" w:hAnsi="Arial" w:eastAsia="Arial"/>
          <w:sz w:val="20"/>
          <w:szCs w:val="20"/>
        </w:rPr>
      </w:pPr>
    </w:p>
    <w:p>
      <w:pPr>
        <w:pStyle w:val="Corpo"/>
        <w:ind w:right="4235"/>
        <w:rPr>
          <w:rStyle w:val="Nessuno"/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hAnsi="Arial"/>
          <w:sz w:val="20"/>
          <w:szCs w:val="20"/>
          <w:rtl w:val="0"/>
        </w:rPr>
        <w:t>Email:</w:t>
      </w:r>
      <w:r>
        <w:rPr>
          <w:rStyle w:val="Nessuno"/>
          <w:rFonts w:ascii="Arial" w:hAnsi="Arial"/>
          <w:sz w:val="20"/>
          <w:szCs w:val="20"/>
          <w:rtl w:val="0"/>
          <w:lang w:val="it-IT"/>
        </w:rPr>
        <w:t>d.pizzol@cuamm.org</w:t>
      </w:r>
    </w:p>
    <w:p>
      <w:pPr>
        <w:pStyle w:val="Body Text"/>
        <w:spacing w:before="2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sectPr>
      <w:type w:val="continuous"/>
      <w:pgSz w:w="11920" w:h="16840" w:orient="portrait"/>
      <w:pgMar w:top="1740" w:right="600" w:bottom="840" w:left="620" w:header="541" w:footer="64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w Cen MT">
    <w:charset w:val="00"/>
    <w:family w:val="roman"/>
    <w:pitch w:val="default"/>
  </w:font>
  <w:font w:name="Myriad Pro">
    <w:charset w:val="00"/>
    <w:family w:val="roman"/>
    <w:pitch w:val="default"/>
  </w:font>
  <w:font w:name="Impact">
    <w:charset w:val="00"/>
    <w:family w:val="roman"/>
    <w:pitch w:val="default"/>
  </w:font>
  <w:font w:name="Minion Pro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5283199</wp:posOffset>
              </wp:positionH>
              <wp:positionV relativeFrom="page">
                <wp:posOffset>330835</wp:posOffset>
              </wp:positionV>
              <wp:extent cx="1832611" cy="22098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rpo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</w:rPr>
                            <w:t xml:space="preserve">T Furuta et al., J Pai n Relief 2016, 5:3(Suppl)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"http://dx.doi.org/10.4172/2167-0846.C1.006"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  <w:lang w:val="en-US"/>
                            </w:rPr>
                            <w:t>http://dx.doi.org/10.4172/2167-0846.C1.006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 w:hAnsi="Arial"/>
                        <w:color w:val="ffffff"/>
                        <w:sz w:val="14"/>
                        <w:szCs w:val="14"/>
                        <w:u w:color="ffffff"/>
                        <w:rtl w:val="0"/>
                      </w:rPr>
                      <w:t xml:space="preserve">T Furuta et al., J Pai n Relief 2016, 5:3(Suppl)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"http://dx.doi.org/10.4172/2167-0846.C1.006"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en-US"/>
                      </w:rPr>
                      <w:t>http://dx.doi.org/10.4172/2167-0846.C1.006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606541" cy="50927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06541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Style w:val="Nessuno"/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Style w:val="Nessuno"/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Corpo"/>
                            <w:spacing w:line="614" w:lineRule="exact"/>
                            <w:ind w:left="20" w:firstLine="0"/>
                          </w:pPr>
                          <w:r>
                            <w:rPr>
                              <w:rStyle w:val="Nessuno"/>
                              <w:rFonts w:ascii="Impact" w:hAns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Style w:val="Nessuno"/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en-US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5.0pt;margin-top:48.3pt;width:520.2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Style w:val="Nessuno"/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Style w:val="Nessuno"/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Corpo"/>
                      <w:spacing w:line="614" w:lineRule="exact"/>
                      <w:ind w:left="20" w:firstLine="0"/>
                    </w:pPr>
                    <w:r>
                      <w:rPr>
                        <w:rStyle w:val="Nessuno"/>
                        <w:rFonts w:ascii="Impact" w:hAns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Style w:val="Nessuno"/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en-US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rpo"/>
                            <w:spacing w:line="184" w:lineRule="exact"/>
                            <w:ind w:left="20" w:firstLine="0"/>
                            <w:rPr>
                              <w:rStyle w:val="Nessuno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J Pain Relief</w:t>
                          </w:r>
                        </w:p>
                        <w:p>
                          <w:pPr>
                            <w:pStyle w:val="Corpo"/>
                            <w:spacing w:before="8"/>
                            <w:ind w:left="20" w:firstLine="0"/>
                          </w:pP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line="184" w:lineRule="exact"/>
                      <w:ind w:left="20" w:firstLine="0"/>
                      <w:rPr>
                        <w:rStyle w:val="Nessuno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essuno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J Pain Relief</w:t>
                    </w:r>
                  </w:p>
                  <w:p>
                    <w:pPr>
                      <w:pStyle w:val="Corpo"/>
                      <w:spacing w:before="8"/>
                      <w:ind w:left="20" w:firstLine="0"/>
                    </w:pPr>
                    <w:r>
                      <w:rPr>
                        <w:rStyle w:val="Nessuno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rpo"/>
                            <w:spacing w:line="269" w:lineRule="exact"/>
                            <w:jc w:val="center"/>
                            <w:rPr>
                              <w:rStyle w:val="Nessuno"/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Style w:val="Nessuno"/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Corpo"/>
                            <w:spacing w:before="29"/>
                            <w:jc w:val="center"/>
                          </w:pP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1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line="269" w:lineRule="exact"/>
                      <w:jc w:val="center"/>
                      <w:rPr>
                        <w:rStyle w:val="Nessuno"/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Style w:val="Nessuno"/>
                        <w:rFonts w:ascii="Impact" w:hAnsi="Impact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Corpo"/>
                      <w:spacing w:before="29"/>
                      <w:jc w:val="center"/>
                    </w:pPr>
                    <w:r>
                      <w:rPr>
                        <w:rStyle w:val="Nessuno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9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rpo"/>
                            <w:spacing w:line="184" w:lineRule="exact"/>
                            <w:ind w:right="18"/>
                            <w:jc w:val="right"/>
                            <w:rPr>
                              <w:rStyle w:val="Nessuno"/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Corpo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Style w:val="Nessuno"/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a-DK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2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line="184" w:lineRule="exact"/>
                      <w:ind w:right="18"/>
                      <w:jc w:val="right"/>
                      <w:rPr>
                        <w:rStyle w:val="Nessuno"/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Style w:val="Nessuno"/>
                        <w:rFonts w:ascii="Arial" w:hAns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Corpo"/>
                      <w:spacing w:before="116"/>
                      <w:ind w:right="18"/>
                      <w:jc w:val="right"/>
                    </w:pPr>
                    <w:r>
                      <w:rPr>
                        <w:rStyle w:val="Nessuno"/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  <w:lang w:val="da-DK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en-US"/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color w:val="ffffff"/>
      <w:sz w:val="14"/>
      <w:szCs w:val="14"/>
      <w:u w:color="ffffff"/>
    </w:rPr>
  </w:style>
  <w:style w:type="paragraph" w:styleId="Intestazione">
    <w:name w:val="Intestazione"/>
    <w:next w:val="Intestazion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47" w:after="0" w:line="400" w:lineRule="exact"/>
      <w:ind w:left="100" w:right="0" w:firstLine="0"/>
      <w:jc w:val="left"/>
      <w:outlineLvl w:val="0"/>
    </w:pPr>
    <w:rPr>
      <w:rFonts w:ascii="Minion Pro" w:cs="Minion Pro" w:hAnsi="Minion Pro" w:eastAsia="Minion Pro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  <w:lang w:val="it-IT"/>
    </w:rPr>
  </w:style>
  <w:style w:type="paragraph" w:styleId="Intestazione 3">
    <w:name w:val="Intestazione 3"/>
    <w:next w:val="Intestazione 3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de-D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