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5883E" w14:textId="77777777" w:rsidR="00C37CFE" w:rsidRDefault="007976CA" w:rsidP="007976CA">
      <w:pPr>
        <w:pStyle w:val="BodyText"/>
        <w:spacing w:before="73"/>
        <w:ind w:right="1334"/>
        <w:rPr>
          <w:rFonts w:ascii="Minion Pro" w:eastAsia="Minion Pro" w:hAnsi="Minion Pro" w:cs="Minion Pro"/>
          <w:b/>
          <w:bCs/>
          <w:color w:val="337AB7"/>
          <w:sz w:val="36"/>
          <w:szCs w:val="36"/>
          <w:lang w:val="en-IN"/>
        </w:rPr>
      </w:pPr>
      <w:r>
        <w:rPr>
          <w:rFonts w:ascii="Minion Pro" w:eastAsia="Minion Pro" w:hAnsi="Minion Pro" w:cs="Minion Pro"/>
          <w:b/>
          <w:bCs/>
          <w:color w:val="337AB7"/>
          <w:sz w:val="36"/>
          <w:szCs w:val="36"/>
          <w:lang w:val="en-IN"/>
        </w:rPr>
        <w:t xml:space="preserve"> </w:t>
      </w:r>
    </w:p>
    <w:p w14:paraId="6EE58E8C" w14:textId="24947601" w:rsidR="00752735" w:rsidRPr="0084527C" w:rsidRDefault="00D76DB5" w:rsidP="00D76DB5">
      <w:pPr>
        <w:pStyle w:val="BodyText"/>
        <w:spacing w:before="73"/>
        <w:ind w:right="1334"/>
        <w:rPr>
          <w:rFonts w:cs="Arial"/>
        </w:rPr>
      </w:pPr>
      <w:r w:rsidRPr="0084527C">
        <w:rPr>
          <w:rFonts w:eastAsia="Minion Pro" w:cs="Minion Pro"/>
          <w:b/>
          <w:bCs/>
          <w:color w:val="337AB7"/>
          <w:sz w:val="36"/>
          <w:szCs w:val="36"/>
          <w:lang w:val="en-IN"/>
        </w:rPr>
        <w:t>The Importance of Cognitive Assessment Within the Hip Fracture Admission Pathway</w:t>
      </w:r>
    </w:p>
    <w:p w14:paraId="03CDF191" w14:textId="0ADAEE4D" w:rsidR="00A63C1B" w:rsidRPr="0084527C" w:rsidRDefault="005824E3" w:rsidP="00A63C1B">
      <w:pPr>
        <w:pStyle w:val="BodyText"/>
        <w:spacing w:before="73" w:line="198" w:lineRule="exact"/>
        <w:ind w:left="100" w:right="484"/>
        <w:rPr>
          <w:rFonts w:cs="Arial"/>
        </w:rPr>
      </w:pPr>
      <w:r w:rsidRPr="0084527C">
        <w:rPr>
          <w:rFonts w:cs="Arial"/>
        </w:rPr>
        <w:t>Dr Remy Rees-Goddard,</w:t>
      </w:r>
      <w:r w:rsidR="00D76DB5" w:rsidRPr="0084527C">
        <w:rPr>
          <w:rFonts w:cs="Arial"/>
        </w:rPr>
        <w:t xml:space="preserve"> </w:t>
      </w:r>
      <w:r w:rsidR="00A63C1B" w:rsidRPr="0084527C">
        <w:rPr>
          <w:rFonts w:cs="Arial"/>
        </w:rPr>
        <w:t xml:space="preserve">Trauma and </w:t>
      </w:r>
      <w:proofErr w:type="spellStart"/>
      <w:r w:rsidR="00A63C1B" w:rsidRPr="0084527C">
        <w:rPr>
          <w:rFonts w:cs="Arial"/>
        </w:rPr>
        <w:t>Orthopaedic</w:t>
      </w:r>
      <w:proofErr w:type="spellEnd"/>
      <w:r w:rsidR="00A63C1B" w:rsidRPr="0084527C">
        <w:rPr>
          <w:rFonts w:cs="Arial"/>
        </w:rPr>
        <w:t xml:space="preserve"> Surgery, Isle of Wight Trust, PO30 5TG, United Kingdom</w:t>
      </w:r>
      <w:r w:rsidR="00D76DB5" w:rsidRPr="0084527C">
        <w:rPr>
          <w:rFonts w:cs="Arial"/>
        </w:rPr>
        <w:t>.</w:t>
      </w:r>
    </w:p>
    <w:p w14:paraId="6BE24771" w14:textId="0BF4A763" w:rsidR="00D76DB5" w:rsidRPr="0084527C" w:rsidRDefault="00D76DB5" w:rsidP="00D76DB5">
      <w:pPr>
        <w:pStyle w:val="BodyText"/>
        <w:spacing w:before="73" w:line="198" w:lineRule="exact"/>
        <w:ind w:left="100" w:right="484"/>
        <w:rPr>
          <w:rFonts w:cs="Arial"/>
        </w:rPr>
      </w:pPr>
      <w:proofErr w:type="spellStart"/>
      <w:r w:rsidRPr="0084527C">
        <w:rPr>
          <w:rFonts w:cs="Arial"/>
        </w:rPr>
        <w:t>Mr</w:t>
      </w:r>
      <w:proofErr w:type="spellEnd"/>
      <w:r w:rsidRPr="0084527C">
        <w:rPr>
          <w:rFonts w:cs="Arial"/>
        </w:rPr>
        <w:t xml:space="preserve"> Ian Osborne, </w:t>
      </w:r>
      <w:r w:rsidRPr="0084527C">
        <w:rPr>
          <w:rFonts w:cs="Arial"/>
        </w:rPr>
        <w:t xml:space="preserve">Trauma and </w:t>
      </w:r>
      <w:proofErr w:type="spellStart"/>
      <w:r w:rsidRPr="0084527C">
        <w:rPr>
          <w:rFonts w:cs="Arial"/>
        </w:rPr>
        <w:t>Orthopaedic</w:t>
      </w:r>
      <w:proofErr w:type="spellEnd"/>
      <w:r w:rsidRPr="0084527C">
        <w:rPr>
          <w:rFonts w:cs="Arial"/>
        </w:rPr>
        <w:t xml:space="preserve"> Surgery, Isle of Wight Trust, PO30 5TG, United Kingdom.</w:t>
      </w:r>
    </w:p>
    <w:p w14:paraId="6A23814D" w14:textId="62DBAA24" w:rsidR="00D76DB5" w:rsidRDefault="00D76DB5" w:rsidP="00A63C1B">
      <w:pPr>
        <w:pStyle w:val="BodyText"/>
        <w:spacing w:before="73" w:line="198" w:lineRule="exact"/>
        <w:ind w:left="100" w:right="484"/>
        <w:rPr>
          <w:rFonts w:ascii="Arial" w:hAnsi="Arial" w:cs="Arial"/>
        </w:rPr>
      </w:pPr>
    </w:p>
    <w:p w14:paraId="190F8AD7" w14:textId="77777777" w:rsidR="00AE3E37" w:rsidRDefault="00AE3E37">
      <w:pPr>
        <w:pStyle w:val="BodyText"/>
        <w:spacing w:before="3"/>
        <w:rPr>
          <w:rFonts w:ascii="Arial"/>
          <w:sz w:val="21"/>
        </w:rPr>
      </w:pPr>
    </w:p>
    <w:p w14:paraId="044E13BB" w14:textId="77777777" w:rsidR="00AE3E37" w:rsidRDefault="00AE3E37">
      <w:pPr>
        <w:rPr>
          <w:rFonts w:ascii="Arial"/>
          <w:sz w:val="21"/>
        </w:rPr>
        <w:sectPr w:rsidR="00AE3E37" w:rsidSect="007976CA">
          <w:headerReference w:type="default" r:id="rId7"/>
          <w:footerReference w:type="default" r:id="rId8"/>
          <w:type w:val="continuous"/>
          <w:pgSz w:w="11910" w:h="16840"/>
          <w:pgMar w:top="1166" w:right="600" w:bottom="840" w:left="620" w:header="541" w:footer="642" w:gutter="0"/>
          <w:cols w:space="720"/>
        </w:sectPr>
      </w:pPr>
    </w:p>
    <w:p w14:paraId="42579432" w14:textId="5188740E" w:rsidR="00AE3E37" w:rsidRPr="0084527C" w:rsidRDefault="00A9710C">
      <w:pPr>
        <w:pStyle w:val="Heading3"/>
        <w:spacing w:before="147"/>
        <w:jc w:val="both"/>
        <w:rPr>
          <w:rFonts w:ascii="Tw Cen MT" w:hAnsi="Tw Cen MT"/>
          <w:sz w:val="22"/>
          <w:szCs w:val="22"/>
        </w:rPr>
      </w:pPr>
      <w:r w:rsidRPr="0084527C">
        <w:rPr>
          <w:rFonts w:ascii="Tw Cen MT" w:hAnsi="Tw Cen MT"/>
          <w:color w:val="BF5A14"/>
          <w:sz w:val="22"/>
          <w:szCs w:val="22"/>
        </w:rPr>
        <w:t>Abstract</w:t>
      </w:r>
    </w:p>
    <w:p w14:paraId="74D9D6F3" w14:textId="509361BB" w:rsidR="00D76DB5" w:rsidRPr="00D76DB5" w:rsidRDefault="005824E3" w:rsidP="00B828FE">
      <w:pPr>
        <w:pStyle w:val="Heading3"/>
        <w:spacing w:before="74"/>
        <w:jc w:val="both"/>
        <w:rPr>
          <w:rFonts w:ascii="Tw Cen MT" w:eastAsia="Tw Cen MT" w:hAnsi="Tw Cen MT" w:cs="Tw Cen MT"/>
          <w:b w:val="0"/>
          <w:bCs w:val="0"/>
          <w:sz w:val="18"/>
          <w:szCs w:val="18"/>
        </w:rPr>
      </w:pPr>
      <w:r w:rsidRPr="0084527C">
        <w:rPr>
          <w:rFonts w:ascii="Tw Cen MT" w:eastAsia="Tw Cen MT" w:hAnsi="Tw Cen MT" w:cs="Tw Cen MT"/>
          <w:sz w:val="18"/>
          <w:szCs w:val="18"/>
        </w:rPr>
        <w:t>Objective</w:t>
      </w:r>
      <w:r w:rsidRPr="0084527C">
        <w:rPr>
          <w:rFonts w:ascii="Tw Cen MT" w:eastAsia="Tw Cen MT" w:hAnsi="Tw Cen MT" w:cs="Tw Cen MT"/>
          <w:b w:val="0"/>
          <w:bCs w:val="0"/>
          <w:sz w:val="18"/>
          <w:szCs w:val="18"/>
        </w:rPr>
        <w:t xml:space="preserve">: </w:t>
      </w:r>
      <w:r w:rsidR="00D76DB5" w:rsidRPr="0084527C">
        <w:rPr>
          <w:rFonts w:ascii="Tw Cen MT" w:eastAsia="Tw Cen MT" w:hAnsi="Tw Cen MT" w:cs="Tw Cen MT"/>
          <w:b w:val="0"/>
          <w:bCs w:val="0"/>
          <w:sz w:val="18"/>
          <w:szCs w:val="18"/>
        </w:rPr>
        <w:t>Hip</w:t>
      </w:r>
      <w:r w:rsidR="00D76DB5" w:rsidRPr="00D76DB5">
        <w:rPr>
          <w:rFonts w:ascii="Tw Cen MT" w:eastAsia="Tw Cen MT" w:hAnsi="Tw Cen MT" w:cs="Tw Cen MT"/>
          <w:b w:val="0"/>
          <w:bCs w:val="0"/>
          <w:sz w:val="18"/>
          <w:szCs w:val="18"/>
        </w:rPr>
        <w:t xml:space="preserve"> fractures are a major health issue in an ageing population. About 75,000 hip fractures occur each year in the UK and create annual costs of approximately £2 billion. Cognitive impairment increases fall risk five-fold and carries a 2.2 increased risk for an injurious fall amongst the elderly. Therefore, having a clearly structured cognitive assessment embedded within the hip fracture pathway is imperative to the quality of patient care. This has been picked up by the British </w:t>
      </w:r>
      <w:proofErr w:type="spellStart"/>
      <w:r w:rsidR="00D76DB5" w:rsidRPr="00D76DB5">
        <w:rPr>
          <w:rFonts w:ascii="Tw Cen MT" w:eastAsia="Tw Cen MT" w:hAnsi="Tw Cen MT" w:cs="Tw Cen MT"/>
          <w:b w:val="0"/>
          <w:bCs w:val="0"/>
          <w:sz w:val="18"/>
          <w:szCs w:val="18"/>
        </w:rPr>
        <w:t>Orthopaedic</w:t>
      </w:r>
      <w:proofErr w:type="spellEnd"/>
      <w:r w:rsidR="00D76DB5" w:rsidRPr="00D76DB5">
        <w:rPr>
          <w:rFonts w:ascii="Tw Cen MT" w:eastAsia="Tw Cen MT" w:hAnsi="Tw Cen MT" w:cs="Tw Cen MT"/>
          <w:b w:val="0"/>
          <w:bCs w:val="0"/>
          <w:sz w:val="18"/>
          <w:szCs w:val="18"/>
        </w:rPr>
        <w:t xml:space="preserve"> Association Standards for Trauma and </w:t>
      </w:r>
      <w:proofErr w:type="spellStart"/>
      <w:r w:rsidR="00D76DB5" w:rsidRPr="00D76DB5">
        <w:rPr>
          <w:rFonts w:ascii="Tw Cen MT" w:eastAsia="Tw Cen MT" w:hAnsi="Tw Cen MT" w:cs="Tw Cen MT"/>
          <w:b w:val="0"/>
          <w:bCs w:val="0"/>
          <w:sz w:val="18"/>
          <w:szCs w:val="18"/>
        </w:rPr>
        <w:t>Orthopaedics</w:t>
      </w:r>
      <w:proofErr w:type="spellEnd"/>
      <w:r w:rsidR="00D76DB5" w:rsidRPr="00D76DB5">
        <w:rPr>
          <w:rFonts w:ascii="Tw Cen MT" w:eastAsia="Tw Cen MT" w:hAnsi="Tw Cen MT" w:cs="Tw Cen MT"/>
          <w:b w:val="0"/>
          <w:bCs w:val="0"/>
          <w:sz w:val="18"/>
          <w:szCs w:val="18"/>
        </w:rPr>
        <w:t xml:space="preserve"> (BOAST) Guideline 2012. Historically, adherence to these standards is variable across the nation. This study aimed to assess if educational measures can improve the assessment of cognitive impairment of patients presenting with neck of femur fracture (NOF). </w:t>
      </w:r>
    </w:p>
    <w:p w14:paraId="641820E9" w14:textId="365D5207" w:rsidR="00D76DB5" w:rsidRPr="00D76DB5" w:rsidRDefault="00D76DB5" w:rsidP="00B828FE">
      <w:pPr>
        <w:pStyle w:val="Heading3"/>
        <w:spacing w:before="74"/>
        <w:jc w:val="both"/>
        <w:rPr>
          <w:rFonts w:ascii="Tw Cen MT" w:eastAsia="Tw Cen MT" w:hAnsi="Tw Cen MT" w:cs="Tw Cen MT"/>
          <w:b w:val="0"/>
          <w:bCs w:val="0"/>
          <w:sz w:val="18"/>
          <w:szCs w:val="18"/>
        </w:rPr>
      </w:pPr>
      <w:r w:rsidRPr="00D76DB5">
        <w:rPr>
          <w:rFonts w:ascii="Tw Cen MT" w:eastAsia="Tw Cen MT" w:hAnsi="Tw Cen MT" w:cs="Tw Cen MT"/>
          <w:sz w:val="18"/>
          <w:szCs w:val="18"/>
        </w:rPr>
        <w:t>Methods:</w:t>
      </w:r>
      <w:r w:rsidRPr="00D76DB5">
        <w:rPr>
          <w:rFonts w:ascii="Tw Cen MT" w:eastAsia="Tw Cen MT" w:hAnsi="Tw Cen MT" w:cs="Tw Cen MT"/>
          <w:b w:val="0"/>
          <w:bCs w:val="0"/>
          <w:sz w:val="18"/>
          <w:szCs w:val="18"/>
        </w:rPr>
        <w:t xml:space="preserve"> A retrospective review of patient records of a baseline cohort of 30 patients presenting with NOF was performed from May-June 2022. Next, educational sessions focusing on the importance and correct performance of cognitive assessments were held in our </w:t>
      </w:r>
      <w:r w:rsidRPr="00D76DB5">
        <w:rPr>
          <w:rFonts w:ascii="Tw Cen MT" w:eastAsia="Tw Cen MT" w:hAnsi="Tw Cen MT" w:cs="Tw Cen MT"/>
          <w:b w:val="0"/>
          <w:bCs w:val="0"/>
          <w:sz w:val="18"/>
          <w:szCs w:val="18"/>
        </w:rPr>
        <w:t>Centre</w:t>
      </w:r>
      <w:r w:rsidRPr="00D76DB5">
        <w:rPr>
          <w:rFonts w:ascii="Tw Cen MT" w:eastAsia="Tw Cen MT" w:hAnsi="Tw Cen MT" w:cs="Tw Cen MT"/>
          <w:b w:val="0"/>
          <w:bCs w:val="0"/>
          <w:sz w:val="18"/>
          <w:szCs w:val="18"/>
        </w:rPr>
        <w:t xml:space="preserve">. These were delivered in form of 10-minute classroom teaching sessions to staff involved in the hip fracture pathway.  Following this, a further cohort of 30 patients in August-September 2022 was evaluated. </w:t>
      </w:r>
    </w:p>
    <w:p w14:paraId="0CB37592" w14:textId="77777777" w:rsidR="00D76DB5" w:rsidRPr="00D76DB5" w:rsidRDefault="00D76DB5" w:rsidP="00B828FE">
      <w:pPr>
        <w:pStyle w:val="Heading3"/>
        <w:spacing w:before="74"/>
        <w:jc w:val="both"/>
        <w:rPr>
          <w:rFonts w:ascii="Tw Cen MT" w:eastAsia="Tw Cen MT" w:hAnsi="Tw Cen MT" w:cs="Tw Cen MT"/>
          <w:b w:val="0"/>
          <w:bCs w:val="0"/>
          <w:sz w:val="18"/>
          <w:szCs w:val="18"/>
        </w:rPr>
      </w:pPr>
      <w:r w:rsidRPr="00B828FE">
        <w:rPr>
          <w:rFonts w:ascii="Tw Cen MT" w:eastAsia="Tw Cen MT" w:hAnsi="Tw Cen MT" w:cs="Tw Cen MT"/>
          <w:sz w:val="18"/>
          <w:szCs w:val="18"/>
        </w:rPr>
        <w:t>Results:</w:t>
      </w:r>
      <w:r w:rsidRPr="00D76DB5">
        <w:rPr>
          <w:rFonts w:ascii="Tw Cen MT" w:eastAsia="Tw Cen MT" w:hAnsi="Tw Cen MT" w:cs="Tw Cen MT"/>
          <w:b w:val="0"/>
          <w:bCs w:val="0"/>
          <w:sz w:val="18"/>
          <w:szCs w:val="18"/>
        </w:rPr>
        <w:t xml:space="preserve"> Adherence to national standards regarding cognitive assessment of patients presenting with NOF was low initially at 6.7%. Through educational measures, this improved almost 9-fold to 60%. Assessments are particularly poor, if patients are being admitted at night, as none of the staff working nightshifts attended the educational sessions. Only 17% of all patients without cognitive assessment were admitted by doctors who have attended the educational sessions. </w:t>
      </w:r>
    </w:p>
    <w:p w14:paraId="14DC5E88" w14:textId="4119137B" w:rsidR="005824E3" w:rsidRDefault="00D76DB5" w:rsidP="00B828FE">
      <w:pPr>
        <w:pStyle w:val="Heading3"/>
        <w:spacing w:before="74"/>
        <w:jc w:val="both"/>
        <w:rPr>
          <w:color w:val="BF5A14"/>
        </w:rPr>
      </w:pPr>
      <w:r w:rsidRPr="00D76DB5">
        <w:rPr>
          <w:rFonts w:ascii="Tw Cen MT" w:eastAsia="Tw Cen MT" w:hAnsi="Tw Cen MT" w:cs="Tw Cen MT"/>
          <w:sz w:val="18"/>
          <w:szCs w:val="18"/>
        </w:rPr>
        <w:t>Conclusions:</w:t>
      </w:r>
      <w:r w:rsidRPr="00D76DB5">
        <w:rPr>
          <w:rFonts w:ascii="Tw Cen MT" w:eastAsia="Tw Cen MT" w:hAnsi="Tw Cen MT" w:cs="Tw Cen MT"/>
          <w:b w:val="0"/>
          <w:bCs w:val="0"/>
          <w:sz w:val="18"/>
          <w:szCs w:val="18"/>
        </w:rPr>
        <w:t xml:space="preserve"> There was a significant improvement of cognitive assessments performed on admission of patients with NOF following educational teaching sessions. These are therefore a powerful tool to improve the adherence to national standards and thereby improve patient care and safety</w:t>
      </w:r>
      <w:r w:rsidR="009F11F9">
        <w:rPr>
          <w:rFonts w:ascii="Tw Cen MT" w:eastAsia="Tw Cen MT" w:hAnsi="Tw Cen MT" w:cs="Tw Cen MT"/>
          <w:b w:val="0"/>
          <w:bCs w:val="0"/>
          <w:sz w:val="18"/>
          <w:szCs w:val="18"/>
        </w:rPr>
        <w:t xml:space="preserve"> </w:t>
      </w:r>
      <w:r w:rsidR="009F11F9" w:rsidRPr="009F11F9">
        <w:rPr>
          <w:rFonts w:ascii="Tw Cen MT" w:eastAsia="Tw Cen MT" w:hAnsi="Tw Cen MT" w:cs="Tw Cen MT"/>
          <w:b w:val="0"/>
          <w:bCs w:val="0"/>
          <w:sz w:val="18"/>
          <w:szCs w:val="18"/>
        </w:rPr>
        <w:t>Cognitive assessment rates before (left) and after (right) Educational intervention</w:t>
      </w:r>
      <w:r w:rsidR="00B828FE">
        <w:rPr>
          <w:rFonts w:ascii="Tw Cen MT" w:eastAsia="Tw Cen MT" w:hAnsi="Tw Cen MT" w:cs="Tw Cen MT"/>
          <w:b w:val="0"/>
          <w:bCs w:val="0"/>
          <w:sz w:val="18"/>
          <w:szCs w:val="18"/>
        </w:rPr>
        <w:t>.</w:t>
      </w:r>
    </w:p>
    <w:p w14:paraId="6C53AEC2" w14:textId="32C81E8A" w:rsidR="005824E3" w:rsidRDefault="005824E3" w:rsidP="005824E3">
      <w:pPr>
        <w:pStyle w:val="Heading3"/>
        <w:spacing w:before="74"/>
        <w:ind w:left="0"/>
        <w:rPr>
          <w:b w:val="0"/>
        </w:rPr>
      </w:pPr>
    </w:p>
    <w:p w14:paraId="424863C8" w14:textId="77777777" w:rsidR="00752735" w:rsidRDefault="00752735" w:rsidP="005824E3">
      <w:pPr>
        <w:pStyle w:val="Heading3"/>
        <w:spacing w:before="74"/>
        <w:ind w:left="0"/>
        <w:rPr>
          <w:b w:val="0"/>
        </w:rPr>
      </w:pPr>
    </w:p>
    <w:p w14:paraId="4B9B9810" w14:textId="4FD041D0" w:rsidR="00D33E59" w:rsidRDefault="00A9710C" w:rsidP="005824E3">
      <w:pPr>
        <w:pStyle w:val="Heading3"/>
        <w:spacing w:before="74"/>
        <w:ind w:left="0"/>
        <w:rPr>
          <w:b w:val="0"/>
        </w:rPr>
      </w:pPr>
      <w:r>
        <w:rPr>
          <w:b w:val="0"/>
        </w:rPr>
        <w:br w:type="column"/>
      </w:r>
      <w:r w:rsidR="009F11F9" w:rsidRPr="009F11F9">
        <w:rPr>
          <w:rFonts w:ascii="Tw Cen MT" w:eastAsia="Tw Cen MT" w:hAnsi="Tw Cen MT" w:cs="Tw Cen MT"/>
          <w:b w:val="0"/>
          <w:bCs w:val="0"/>
          <w:sz w:val="18"/>
          <w:szCs w:val="18"/>
        </w:rPr>
        <w:t xml:space="preserve">Cognitive </w:t>
      </w:r>
      <w:r w:rsidR="0084527C">
        <w:rPr>
          <w:rFonts w:ascii="Tw Cen MT" w:eastAsia="Tw Cen MT" w:hAnsi="Tw Cen MT" w:cs="Tw Cen MT"/>
          <w:b w:val="0"/>
          <w:bCs w:val="0"/>
          <w:sz w:val="18"/>
          <w:szCs w:val="18"/>
        </w:rPr>
        <w:t>A</w:t>
      </w:r>
      <w:r w:rsidR="009F11F9" w:rsidRPr="009F11F9">
        <w:rPr>
          <w:rFonts w:ascii="Tw Cen MT" w:eastAsia="Tw Cen MT" w:hAnsi="Tw Cen MT" w:cs="Tw Cen MT"/>
          <w:b w:val="0"/>
          <w:bCs w:val="0"/>
          <w:sz w:val="18"/>
          <w:szCs w:val="18"/>
        </w:rPr>
        <w:t xml:space="preserve">ssessment rates before (left) and after (right) </w:t>
      </w:r>
      <w:r w:rsidR="0084527C">
        <w:rPr>
          <w:rFonts w:ascii="Tw Cen MT" w:eastAsia="Tw Cen MT" w:hAnsi="Tw Cen MT" w:cs="Tw Cen MT"/>
          <w:b w:val="0"/>
          <w:bCs w:val="0"/>
          <w:sz w:val="18"/>
          <w:szCs w:val="18"/>
        </w:rPr>
        <w:t>E</w:t>
      </w:r>
      <w:r w:rsidR="009F11F9" w:rsidRPr="009F11F9">
        <w:rPr>
          <w:rFonts w:ascii="Tw Cen MT" w:eastAsia="Tw Cen MT" w:hAnsi="Tw Cen MT" w:cs="Tw Cen MT"/>
          <w:b w:val="0"/>
          <w:bCs w:val="0"/>
          <w:sz w:val="18"/>
          <w:szCs w:val="18"/>
        </w:rPr>
        <w:t xml:space="preserve">ducational </w:t>
      </w:r>
      <w:r w:rsidR="0084527C">
        <w:rPr>
          <w:rFonts w:ascii="Tw Cen MT" w:eastAsia="Tw Cen MT" w:hAnsi="Tw Cen MT" w:cs="Tw Cen MT"/>
          <w:b w:val="0"/>
          <w:bCs w:val="0"/>
          <w:sz w:val="18"/>
          <w:szCs w:val="18"/>
        </w:rPr>
        <w:t>I</w:t>
      </w:r>
      <w:r w:rsidR="009F11F9" w:rsidRPr="009F11F9">
        <w:rPr>
          <w:rFonts w:ascii="Tw Cen MT" w:eastAsia="Tw Cen MT" w:hAnsi="Tw Cen MT" w:cs="Tw Cen MT"/>
          <w:b w:val="0"/>
          <w:bCs w:val="0"/>
          <w:sz w:val="18"/>
          <w:szCs w:val="18"/>
        </w:rPr>
        <w:t>ntervention</w:t>
      </w:r>
      <w:r w:rsidR="009F11F9">
        <w:rPr>
          <w:rFonts w:ascii="Tw Cen MT" w:eastAsia="Tw Cen MT" w:hAnsi="Tw Cen MT" w:cs="Tw Cen MT"/>
          <w:b w:val="0"/>
          <w:bCs w:val="0"/>
          <w:sz w:val="18"/>
          <w:szCs w:val="18"/>
        </w:rPr>
        <w:t>:</w:t>
      </w:r>
    </w:p>
    <w:p w14:paraId="5A321365" w14:textId="199893AC" w:rsidR="00D33E59" w:rsidRDefault="009F11F9" w:rsidP="005824E3">
      <w:pPr>
        <w:pStyle w:val="Heading3"/>
        <w:spacing w:before="74"/>
        <w:ind w:left="0"/>
        <w:rPr>
          <w:b w:val="0"/>
        </w:rPr>
      </w:pPr>
      <w:r>
        <w:rPr>
          <w:b w:val="0"/>
          <w:noProof/>
        </w:rPr>
        <w:drawing>
          <wp:inline distT="0" distB="0" distL="0" distR="0" wp14:anchorId="0D65DFD7" wp14:editId="545752FF">
            <wp:extent cx="3165475" cy="1699260"/>
            <wp:effectExtent l="0" t="0" r="0" b="2540"/>
            <wp:docPr id="2" name="Picture 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pie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699260"/>
                    </a:xfrm>
                    <a:prstGeom prst="rect">
                      <a:avLst/>
                    </a:prstGeom>
                  </pic:spPr>
                </pic:pic>
              </a:graphicData>
            </a:graphic>
          </wp:inline>
        </w:drawing>
      </w:r>
    </w:p>
    <w:p w14:paraId="6C9F6246" w14:textId="6E57ADC0" w:rsidR="005973B9" w:rsidRPr="0084527C" w:rsidRDefault="005973B9" w:rsidP="005824E3">
      <w:pPr>
        <w:pStyle w:val="Heading3"/>
        <w:spacing w:before="74"/>
        <w:ind w:left="0"/>
        <w:rPr>
          <w:rFonts w:ascii="Tw Cen MT" w:hAnsi="Tw Cen MT"/>
          <w:sz w:val="22"/>
          <w:szCs w:val="22"/>
        </w:rPr>
      </w:pPr>
      <w:r w:rsidRPr="0084527C">
        <w:rPr>
          <w:rFonts w:ascii="Tw Cen MT" w:hAnsi="Tw Cen MT"/>
          <w:color w:val="BF5A14"/>
          <w:sz w:val="22"/>
          <w:szCs w:val="22"/>
        </w:rPr>
        <w:t>Recent Publications</w:t>
      </w:r>
    </w:p>
    <w:p w14:paraId="652EB1C2" w14:textId="77777777" w:rsidR="00D76DB5" w:rsidRPr="0084527C" w:rsidRDefault="005824E3" w:rsidP="00B828FE">
      <w:pPr>
        <w:pStyle w:val="BodyText"/>
        <w:spacing w:before="85" w:line="216" w:lineRule="exact"/>
        <w:ind w:left="383" w:right="138" w:hanging="284"/>
        <w:jc w:val="both"/>
        <w:rPr>
          <w:rFonts w:eastAsia="Calibri" w:cs="Calibri"/>
          <w:sz w:val="16"/>
          <w:szCs w:val="16"/>
          <w:lang w:val="en-GB"/>
        </w:rPr>
      </w:pPr>
      <w:r w:rsidRPr="005824E3">
        <w:rPr>
          <w:rFonts w:ascii="Calibri" w:eastAsia="Calibri" w:hAnsi="Calibri" w:cs="Calibri"/>
          <w:sz w:val="16"/>
          <w:szCs w:val="16"/>
        </w:rPr>
        <w:t>1.</w:t>
      </w:r>
      <w:r w:rsidRPr="005824E3">
        <w:rPr>
          <w:rFonts w:ascii="Calibri" w:eastAsia="Calibri" w:hAnsi="Calibri" w:cs="Calibri"/>
          <w:sz w:val="16"/>
          <w:szCs w:val="16"/>
        </w:rPr>
        <w:tab/>
      </w:r>
      <w:r w:rsidR="00D76DB5" w:rsidRPr="0084527C">
        <w:rPr>
          <w:rFonts w:eastAsia="Calibri" w:cs="Calibri"/>
          <w:sz w:val="16"/>
          <w:szCs w:val="16"/>
          <w:lang w:val="en-GB"/>
        </w:rPr>
        <w:t xml:space="preserve">Nevitt MC, Cummings SR, </w:t>
      </w:r>
      <w:proofErr w:type="spellStart"/>
      <w:r w:rsidR="00D76DB5" w:rsidRPr="0084527C">
        <w:rPr>
          <w:rFonts w:eastAsia="Calibri" w:cs="Calibri"/>
          <w:sz w:val="16"/>
          <w:szCs w:val="16"/>
          <w:lang w:val="en-GB"/>
        </w:rPr>
        <w:t>Hudes</w:t>
      </w:r>
      <w:proofErr w:type="spellEnd"/>
      <w:r w:rsidR="00D76DB5" w:rsidRPr="0084527C">
        <w:rPr>
          <w:rFonts w:eastAsia="Calibri" w:cs="Calibri"/>
          <w:sz w:val="16"/>
          <w:szCs w:val="16"/>
          <w:lang w:val="en-GB"/>
        </w:rPr>
        <w:t xml:space="preserve"> ES. Risk factors for injurious falls: a prospective study. </w:t>
      </w:r>
      <w:r w:rsidR="00D76DB5" w:rsidRPr="0084527C">
        <w:rPr>
          <w:rFonts w:eastAsia="Calibri" w:cs="Calibri"/>
          <w:i/>
          <w:iCs/>
          <w:sz w:val="16"/>
          <w:szCs w:val="16"/>
          <w:lang w:val="en-GB"/>
        </w:rPr>
        <w:t xml:space="preserve">J </w:t>
      </w:r>
      <w:proofErr w:type="spellStart"/>
      <w:r w:rsidR="00D76DB5" w:rsidRPr="0084527C">
        <w:rPr>
          <w:rFonts w:eastAsia="Calibri" w:cs="Calibri"/>
          <w:i/>
          <w:iCs/>
          <w:sz w:val="16"/>
          <w:szCs w:val="16"/>
          <w:lang w:val="en-GB"/>
        </w:rPr>
        <w:t>Gerontol</w:t>
      </w:r>
      <w:proofErr w:type="spellEnd"/>
      <w:r w:rsidR="00D76DB5" w:rsidRPr="0084527C">
        <w:rPr>
          <w:rFonts w:eastAsia="Calibri" w:cs="Calibri"/>
          <w:i/>
          <w:iCs/>
          <w:sz w:val="16"/>
          <w:szCs w:val="16"/>
          <w:lang w:val="en-GB"/>
        </w:rPr>
        <w:t xml:space="preserve"> </w:t>
      </w:r>
      <w:proofErr w:type="gramStart"/>
      <w:r w:rsidR="00D76DB5" w:rsidRPr="0084527C">
        <w:rPr>
          <w:rFonts w:eastAsia="Calibri" w:cs="Calibri"/>
          <w:i/>
          <w:iCs/>
          <w:sz w:val="16"/>
          <w:szCs w:val="16"/>
          <w:lang w:val="en-GB"/>
        </w:rPr>
        <w:t>A</w:t>
      </w:r>
      <w:proofErr w:type="gramEnd"/>
      <w:r w:rsidR="00D76DB5" w:rsidRPr="0084527C">
        <w:rPr>
          <w:rFonts w:eastAsia="Calibri" w:cs="Calibri"/>
          <w:i/>
          <w:iCs/>
          <w:sz w:val="16"/>
          <w:szCs w:val="16"/>
          <w:lang w:val="en-GB"/>
        </w:rPr>
        <w:t xml:space="preserve"> </w:t>
      </w:r>
      <w:proofErr w:type="spellStart"/>
      <w:r w:rsidR="00D76DB5" w:rsidRPr="0084527C">
        <w:rPr>
          <w:rFonts w:eastAsia="Calibri" w:cs="Calibri"/>
          <w:i/>
          <w:iCs/>
          <w:sz w:val="16"/>
          <w:szCs w:val="16"/>
          <w:lang w:val="en-GB"/>
        </w:rPr>
        <w:t>Biol</w:t>
      </w:r>
      <w:proofErr w:type="spellEnd"/>
      <w:r w:rsidR="00D76DB5" w:rsidRPr="0084527C">
        <w:rPr>
          <w:rFonts w:eastAsia="Calibri" w:cs="Calibri"/>
          <w:i/>
          <w:iCs/>
          <w:sz w:val="16"/>
          <w:szCs w:val="16"/>
          <w:lang w:val="en-GB"/>
        </w:rPr>
        <w:t xml:space="preserve"> Sci Med Sci. </w:t>
      </w:r>
      <w:r w:rsidR="00D76DB5" w:rsidRPr="0084527C">
        <w:rPr>
          <w:rFonts w:eastAsia="Calibri" w:cs="Calibri"/>
          <w:sz w:val="16"/>
          <w:szCs w:val="16"/>
          <w:lang w:val="en-GB"/>
        </w:rPr>
        <w:t xml:space="preserve">1991;46:M164-170. </w:t>
      </w:r>
    </w:p>
    <w:p w14:paraId="4B665D48" w14:textId="33D8401A" w:rsidR="00D76DB5" w:rsidRPr="00D76DB5" w:rsidRDefault="00D76DB5" w:rsidP="00B828FE">
      <w:pPr>
        <w:pStyle w:val="BodyText"/>
        <w:spacing w:before="85" w:line="216" w:lineRule="exact"/>
        <w:ind w:left="383" w:right="138" w:hanging="284"/>
        <w:jc w:val="both"/>
        <w:rPr>
          <w:rFonts w:eastAsia="Calibri" w:cs="Calibri"/>
          <w:sz w:val="16"/>
          <w:szCs w:val="16"/>
          <w:lang w:val="en-GB"/>
        </w:rPr>
      </w:pPr>
      <w:r w:rsidRPr="0084527C">
        <w:rPr>
          <w:rFonts w:eastAsia="Calibri" w:cs="Calibri"/>
          <w:sz w:val="16"/>
          <w:szCs w:val="16"/>
          <w:lang w:val="en-GB"/>
        </w:rPr>
        <w:t>2.</w:t>
      </w:r>
      <w:r w:rsidRPr="0084527C">
        <w:rPr>
          <w:rFonts w:eastAsia="Calibri" w:cs="Calibri"/>
          <w:sz w:val="16"/>
          <w:szCs w:val="16"/>
          <w:lang w:val="en-GB"/>
        </w:rPr>
        <w:tab/>
      </w:r>
      <w:proofErr w:type="spellStart"/>
      <w:r w:rsidRPr="00D76DB5">
        <w:rPr>
          <w:rFonts w:eastAsia="Calibri" w:cs="Calibri"/>
          <w:sz w:val="16"/>
          <w:szCs w:val="16"/>
          <w:lang w:val="en-GB"/>
        </w:rPr>
        <w:t>Haentjens</w:t>
      </w:r>
      <w:proofErr w:type="spellEnd"/>
      <w:r w:rsidRPr="00D76DB5">
        <w:rPr>
          <w:rFonts w:eastAsia="Calibri" w:cs="Calibri"/>
          <w:sz w:val="16"/>
          <w:szCs w:val="16"/>
          <w:lang w:val="en-GB"/>
        </w:rPr>
        <w:t xml:space="preserve"> P, </w:t>
      </w:r>
      <w:proofErr w:type="spellStart"/>
      <w:r w:rsidRPr="00D76DB5">
        <w:rPr>
          <w:rFonts w:eastAsia="Calibri" w:cs="Calibri"/>
          <w:sz w:val="16"/>
          <w:szCs w:val="16"/>
          <w:lang w:val="en-GB"/>
        </w:rPr>
        <w:t>Autier</w:t>
      </w:r>
      <w:proofErr w:type="spellEnd"/>
      <w:r w:rsidRPr="00D76DB5">
        <w:rPr>
          <w:rFonts w:eastAsia="Calibri" w:cs="Calibri"/>
          <w:sz w:val="16"/>
          <w:szCs w:val="16"/>
          <w:lang w:val="en-GB"/>
        </w:rPr>
        <w:t xml:space="preserve"> P, </w:t>
      </w:r>
      <w:proofErr w:type="spellStart"/>
      <w:r w:rsidRPr="00D76DB5">
        <w:rPr>
          <w:rFonts w:eastAsia="Calibri" w:cs="Calibri"/>
          <w:sz w:val="16"/>
          <w:szCs w:val="16"/>
          <w:lang w:val="en-GB"/>
        </w:rPr>
        <w:t>Barette</w:t>
      </w:r>
      <w:proofErr w:type="spellEnd"/>
      <w:r w:rsidRPr="00D76DB5">
        <w:rPr>
          <w:rFonts w:eastAsia="Calibri" w:cs="Calibri"/>
          <w:sz w:val="16"/>
          <w:szCs w:val="16"/>
          <w:lang w:val="en-GB"/>
        </w:rPr>
        <w:t xml:space="preserve"> M, Boonen S. The economic cost of hip fractures among elderly women: a one-year, prospective, observational cohort study with matched-pair analysis. </w:t>
      </w:r>
      <w:r w:rsidRPr="00D76DB5">
        <w:rPr>
          <w:rFonts w:eastAsia="Calibri" w:cs="Calibri"/>
          <w:i/>
          <w:iCs/>
          <w:sz w:val="16"/>
          <w:szCs w:val="16"/>
          <w:lang w:val="en-GB"/>
        </w:rPr>
        <w:t xml:space="preserve">J Bone Joint </w:t>
      </w:r>
      <w:proofErr w:type="spellStart"/>
      <w:r w:rsidRPr="00D76DB5">
        <w:rPr>
          <w:rFonts w:eastAsia="Calibri" w:cs="Calibri"/>
          <w:i/>
          <w:iCs/>
          <w:sz w:val="16"/>
          <w:szCs w:val="16"/>
          <w:lang w:val="en-GB"/>
        </w:rPr>
        <w:t>Surg</w:t>
      </w:r>
      <w:proofErr w:type="spellEnd"/>
      <w:r w:rsidRPr="00D76DB5">
        <w:rPr>
          <w:rFonts w:eastAsia="Calibri" w:cs="Calibri"/>
          <w:i/>
          <w:iCs/>
          <w:sz w:val="16"/>
          <w:szCs w:val="16"/>
          <w:lang w:val="en-GB"/>
        </w:rPr>
        <w:t xml:space="preserve"> [Am]. </w:t>
      </w:r>
      <w:proofErr w:type="gramStart"/>
      <w:r w:rsidRPr="00D76DB5">
        <w:rPr>
          <w:rFonts w:eastAsia="Calibri" w:cs="Calibri"/>
          <w:sz w:val="16"/>
          <w:szCs w:val="16"/>
          <w:lang w:val="en-GB"/>
        </w:rPr>
        <w:t>2001;83:492</w:t>
      </w:r>
      <w:proofErr w:type="gramEnd"/>
      <w:r w:rsidRPr="00D76DB5">
        <w:rPr>
          <w:rFonts w:eastAsia="Calibri" w:cs="Calibri"/>
          <w:sz w:val="16"/>
          <w:szCs w:val="16"/>
          <w:lang w:val="en-GB"/>
        </w:rPr>
        <w:t xml:space="preserve">-500. </w:t>
      </w:r>
    </w:p>
    <w:p w14:paraId="31156C06" w14:textId="2247AA20" w:rsidR="00D76DB5" w:rsidRPr="00D76DB5" w:rsidRDefault="00D76DB5" w:rsidP="00B828FE">
      <w:pPr>
        <w:pStyle w:val="BodyText"/>
        <w:spacing w:before="85" w:line="216" w:lineRule="exact"/>
        <w:ind w:left="383" w:right="138" w:hanging="284"/>
        <w:jc w:val="both"/>
        <w:rPr>
          <w:rFonts w:eastAsia="Calibri" w:cs="Calibri"/>
          <w:sz w:val="16"/>
          <w:szCs w:val="16"/>
          <w:lang w:val="en-GB"/>
        </w:rPr>
      </w:pPr>
      <w:r w:rsidRPr="0084527C">
        <w:rPr>
          <w:rFonts w:eastAsia="Calibri" w:cs="Calibri"/>
          <w:sz w:val="16"/>
          <w:szCs w:val="16"/>
          <w:lang w:val="en-GB"/>
        </w:rPr>
        <w:t>3.</w:t>
      </w:r>
      <w:r w:rsidRPr="0084527C">
        <w:rPr>
          <w:rFonts w:eastAsia="Calibri" w:cs="Calibri"/>
          <w:sz w:val="16"/>
          <w:szCs w:val="16"/>
          <w:lang w:val="en-GB"/>
        </w:rPr>
        <w:tab/>
      </w:r>
      <w:proofErr w:type="spellStart"/>
      <w:r w:rsidRPr="00D76DB5">
        <w:rPr>
          <w:rFonts w:eastAsia="Calibri" w:cs="Calibri"/>
          <w:sz w:val="16"/>
          <w:szCs w:val="16"/>
          <w:lang w:val="en-GB"/>
        </w:rPr>
        <w:t>Wiktorowicz</w:t>
      </w:r>
      <w:proofErr w:type="spellEnd"/>
      <w:r w:rsidRPr="00D76DB5">
        <w:rPr>
          <w:rFonts w:eastAsia="Calibri" w:cs="Calibri"/>
          <w:sz w:val="16"/>
          <w:szCs w:val="16"/>
          <w:lang w:val="en-GB"/>
        </w:rPr>
        <w:t xml:space="preserve"> ME, </w:t>
      </w:r>
      <w:proofErr w:type="spellStart"/>
      <w:r w:rsidRPr="00D76DB5">
        <w:rPr>
          <w:rFonts w:eastAsia="Calibri" w:cs="Calibri"/>
          <w:sz w:val="16"/>
          <w:szCs w:val="16"/>
          <w:lang w:val="en-GB"/>
        </w:rPr>
        <w:t>Goeree</w:t>
      </w:r>
      <w:proofErr w:type="spellEnd"/>
      <w:r w:rsidRPr="00D76DB5">
        <w:rPr>
          <w:rFonts w:eastAsia="Calibri" w:cs="Calibri"/>
          <w:sz w:val="16"/>
          <w:szCs w:val="16"/>
          <w:lang w:val="en-GB"/>
        </w:rPr>
        <w:t xml:space="preserve"> R, </w:t>
      </w:r>
      <w:proofErr w:type="spellStart"/>
      <w:r w:rsidRPr="00D76DB5">
        <w:rPr>
          <w:rFonts w:eastAsia="Calibri" w:cs="Calibri"/>
          <w:sz w:val="16"/>
          <w:szCs w:val="16"/>
          <w:lang w:val="en-GB"/>
        </w:rPr>
        <w:t>Papaioannou</w:t>
      </w:r>
      <w:proofErr w:type="spellEnd"/>
      <w:r w:rsidRPr="00D76DB5">
        <w:rPr>
          <w:rFonts w:eastAsia="Calibri" w:cs="Calibri"/>
          <w:sz w:val="16"/>
          <w:szCs w:val="16"/>
          <w:lang w:val="en-GB"/>
        </w:rPr>
        <w:t xml:space="preserve"> A, Adachi JD, </w:t>
      </w:r>
      <w:proofErr w:type="spellStart"/>
      <w:r w:rsidRPr="00D76DB5">
        <w:rPr>
          <w:rFonts w:eastAsia="Calibri" w:cs="Calibri"/>
          <w:sz w:val="16"/>
          <w:szCs w:val="16"/>
          <w:lang w:val="en-GB"/>
        </w:rPr>
        <w:t>Papadimitropoulos</w:t>
      </w:r>
      <w:proofErr w:type="spellEnd"/>
      <w:r w:rsidRPr="00D76DB5">
        <w:rPr>
          <w:rFonts w:eastAsia="Calibri" w:cs="Calibri"/>
          <w:sz w:val="16"/>
          <w:szCs w:val="16"/>
          <w:lang w:val="en-GB"/>
        </w:rPr>
        <w:t xml:space="preserve"> E. Economic implications of hip fracture: health service use, institutional care and cost in Canada. </w:t>
      </w:r>
      <w:r w:rsidRPr="00D76DB5">
        <w:rPr>
          <w:rFonts w:eastAsia="Calibri" w:cs="Calibri"/>
          <w:i/>
          <w:iCs/>
          <w:sz w:val="16"/>
          <w:szCs w:val="16"/>
          <w:lang w:val="en-GB"/>
        </w:rPr>
        <w:t xml:space="preserve">Osteoporosis Int. </w:t>
      </w:r>
      <w:proofErr w:type="gramStart"/>
      <w:r w:rsidRPr="00D76DB5">
        <w:rPr>
          <w:rFonts w:eastAsia="Calibri" w:cs="Calibri"/>
          <w:sz w:val="16"/>
          <w:szCs w:val="16"/>
          <w:lang w:val="en-GB"/>
        </w:rPr>
        <w:t>2001;12:271</w:t>
      </w:r>
      <w:proofErr w:type="gramEnd"/>
      <w:r w:rsidRPr="00D76DB5">
        <w:rPr>
          <w:rFonts w:eastAsia="Calibri" w:cs="Calibri"/>
          <w:sz w:val="16"/>
          <w:szCs w:val="16"/>
          <w:lang w:val="en-GB"/>
        </w:rPr>
        <w:t xml:space="preserve">-278. </w:t>
      </w:r>
    </w:p>
    <w:p w14:paraId="1DDDE5FE" w14:textId="2F2DAFA1" w:rsidR="00D76DB5" w:rsidRPr="0084527C" w:rsidRDefault="00D76DB5" w:rsidP="00B828FE">
      <w:pPr>
        <w:pStyle w:val="BodyText"/>
        <w:spacing w:before="85" w:line="216" w:lineRule="exact"/>
        <w:ind w:left="383" w:right="138" w:hanging="284"/>
        <w:jc w:val="both"/>
        <w:rPr>
          <w:rFonts w:eastAsia="Calibri" w:cs="Calibri"/>
          <w:sz w:val="16"/>
          <w:szCs w:val="16"/>
          <w:lang w:val="en-GB"/>
        </w:rPr>
      </w:pPr>
      <w:r w:rsidRPr="0084527C">
        <w:rPr>
          <w:rFonts w:eastAsia="Calibri" w:cs="Calibri"/>
          <w:sz w:val="16"/>
          <w:szCs w:val="16"/>
          <w:lang w:val="en-GB"/>
        </w:rPr>
        <w:t>4.</w:t>
      </w:r>
      <w:r w:rsidRPr="0084527C">
        <w:rPr>
          <w:rFonts w:eastAsia="Calibri" w:cs="Calibri"/>
          <w:sz w:val="16"/>
          <w:szCs w:val="16"/>
          <w:lang w:val="en-GB"/>
        </w:rPr>
        <w:tab/>
      </w:r>
      <w:proofErr w:type="spellStart"/>
      <w:r w:rsidRPr="00D76DB5">
        <w:rPr>
          <w:rFonts w:eastAsia="Calibri" w:cs="Calibri"/>
          <w:sz w:val="16"/>
          <w:szCs w:val="16"/>
          <w:lang w:val="en-GB"/>
        </w:rPr>
        <w:t>Marottoli</w:t>
      </w:r>
      <w:proofErr w:type="spellEnd"/>
      <w:r w:rsidRPr="00D76DB5">
        <w:rPr>
          <w:rFonts w:eastAsia="Calibri" w:cs="Calibri"/>
          <w:sz w:val="16"/>
          <w:szCs w:val="16"/>
          <w:lang w:val="en-GB"/>
        </w:rPr>
        <w:t xml:space="preserve"> RA, Berkman LF, Leo-Summers L, Cooney LM Jr. Predictors of mortality and institutionalization after hip fracture: the New Haven EPESE cohort. Established populations for Epidemiologic Studies of the Elderly. </w:t>
      </w:r>
      <w:r w:rsidRPr="00D76DB5">
        <w:rPr>
          <w:rFonts w:eastAsia="Calibri" w:cs="Calibri"/>
          <w:i/>
          <w:iCs/>
          <w:sz w:val="16"/>
          <w:szCs w:val="16"/>
          <w:lang w:val="en-GB"/>
        </w:rPr>
        <w:t xml:space="preserve">Am J Public Health. </w:t>
      </w:r>
      <w:r w:rsidRPr="00D76DB5">
        <w:rPr>
          <w:rFonts w:eastAsia="Calibri" w:cs="Calibri"/>
          <w:sz w:val="16"/>
          <w:szCs w:val="16"/>
          <w:lang w:val="en-GB"/>
        </w:rPr>
        <w:t xml:space="preserve">1994; 84:1807-1812. </w:t>
      </w:r>
    </w:p>
    <w:p w14:paraId="1AD429B0" w14:textId="77777777" w:rsidR="009F11F9" w:rsidRPr="0084527C" w:rsidRDefault="00D33E59" w:rsidP="00B828FE">
      <w:pPr>
        <w:pStyle w:val="BodyText"/>
        <w:spacing w:before="85" w:line="216" w:lineRule="exact"/>
        <w:ind w:left="383" w:right="138" w:hanging="284"/>
        <w:jc w:val="both"/>
        <w:rPr>
          <w:rFonts w:eastAsia="Calibri" w:cs="Calibri"/>
          <w:sz w:val="16"/>
          <w:szCs w:val="16"/>
          <w:lang w:val="en-GB"/>
        </w:rPr>
      </w:pPr>
      <w:r w:rsidRPr="0084527C">
        <w:rPr>
          <w:rFonts w:eastAsia="Calibri" w:cs="Calibri"/>
          <w:sz w:val="16"/>
          <w:szCs w:val="16"/>
          <w:lang w:val="en-GB"/>
        </w:rPr>
        <w:t xml:space="preserve">5. </w:t>
      </w:r>
      <w:r w:rsidR="009F11F9" w:rsidRPr="0084527C">
        <w:rPr>
          <w:rFonts w:eastAsia="Calibri" w:cs="Calibri"/>
          <w:sz w:val="16"/>
          <w:szCs w:val="16"/>
          <w:lang w:val="en-GB"/>
        </w:rPr>
        <w:t>British Orthopaedic Association (2007). The care of patients with fragility fracture.</w:t>
      </w:r>
    </w:p>
    <w:p w14:paraId="06B789A9" w14:textId="5850152F" w:rsidR="00D33E59" w:rsidRPr="00D76DB5" w:rsidRDefault="00D33E59" w:rsidP="00D76DB5">
      <w:pPr>
        <w:pStyle w:val="BodyText"/>
        <w:spacing w:before="85" w:line="216" w:lineRule="exact"/>
        <w:ind w:left="383" w:right="138" w:hanging="284"/>
        <w:jc w:val="both"/>
        <w:rPr>
          <w:rFonts w:ascii="Calibri" w:eastAsia="Calibri" w:hAnsi="Calibri" w:cs="Calibri"/>
          <w:sz w:val="16"/>
          <w:szCs w:val="16"/>
          <w:lang w:val="en-GB"/>
        </w:rPr>
      </w:pPr>
    </w:p>
    <w:p w14:paraId="5DF95E82" w14:textId="64CD0382" w:rsidR="00AE3E37" w:rsidRDefault="008756E6" w:rsidP="00D76DB5">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AB784B" w14:textId="4FD5DC25" w:rsidR="00AE3E37" w:rsidRPr="00D62425" w:rsidRDefault="00D62425">
      <w:pPr>
        <w:pStyle w:val="BodyText"/>
        <w:rPr>
          <w:rFonts w:ascii="Calibri"/>
          <w:b/>
          <w:sz w:val="20"/>
        </w:rPr>
      </w:pPr>
      <w:r>
        <w:rPr>
          <w:rFonts w:ascii="Calibri"/>
          <w:sz w:val="20"/>
        </w:rPr>
        <w:t xml:space="preserve">     </w:t>
      </w:r>
    </w:p>
    <w:p w14:paraId="4732B1A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432A204" wp14:editId="357E590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68650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DA7DF9A" w14:textId="64618E93" w:rsidR="00752735" w:rsidRDefault="008756E6" w:rsidP="00404E5B">
      <w:pPr>
        <w:spacing w:before="92"/>
        <w:ind w:right="4234"/>
        <w:rPr>
          <w:noProof/>
        </w:rPr>
      </w:pPr>
      <w:r>
        <w:rPr>
          <w:noProof/>
        </w:rPr>
        <w:t xml:space="preserve">  </w:t>
      </w:r>
      <w:r w:rsidR="007976CA">
        <w:rPr>
          <w:noProof/>
        </w:rPr>
        <w:t xml:space="preserve"> </w:t>
      </w:r>
      <w:r>
        <w:rPr>
          <w:noProof/>
        </w:rPr>
        <w:t xml:space="preserve"> </w:t>
      </w:r>
      <w:r w:rsidR="00752735">
        <w:rPr>
          <w:noProof/>
        </w:rPr>
        <w:drawing>
          <wp:inline distT="0" distB="0" distL="0" distR="0" wp14:anchorId="0DA77E37" wp14:editId="6DA1AB2A">
            <wp:extent cx="695348" cy="869577"/>
            <wp:effectExtent l="0" t="0" r="3175" b="0"/>
            <wp:docPr id="1" name="Pictur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7431" cy="909699"/>
                    </a:xfrm>
                    <a:prstGeom prst="rect">
                      <a:avLst/>
                    </a:prstGeom>
                  </pic:spPr>
                </pic:pic>
              </a:graphicData>
            </a:graphic>
          </wp:inline>
        </w:drawing>
      </w:r>
      <w:r>
        <w:rPr>
          <w:noProof/>
        </w:rPr>
        <w:t xml:space="preserve">        </w:t>
      </w:r>
    </w:p>
    <w:p w14:paraId="7ED56C43" w14:textId="2AEBE6F6" w:rsidR="00AE3E37" w:rsidRPr="0084527C" w:rsidRDefault="00752735" w:rsidP="00404E5B">
      <w:pPr>
        <w:spacing w:before="92"/>
        <w:ind w:right="4234"/>
        <w:rPr>
          <w:b/>
          <w:bCs/>
        </w:rPr>
      </w:pPr>
      <w:r>
        <w:rPr>
          <w:noProof/>
        </w:rPr>
        <w:t xml:space="preserve">  </w:t>
      </w:r>
      <w:r w:rsidRPr="0084527C">
        <w:rPr>
          <w:b/>
          <w:bCs/>
          <w:noProof/>
        </w:rPr>
        <w:t xml:space="preserve"> </w:t>
      </w:r>
      <w:r w:rsidR="00A9710C" w:rsidRPr="0084527C">
        <w:rPr>
          <w:b/>
          <w:bCs/>
          <w:color w:val="BF5A14"/>
        </w:rPr>
        <w:t>Biography</w:t>
      </w:r>
    </w:p>
    <w:p w14:paraId="6A00A2E2" w14:textId="0A2AA4F9" w:rsidR="007E4435" w:rsidRPr="0084527C" w:rsidRDefault="007E4435" w:rsidP="007E4435">
      <w:pPr>
        <w:spacing w:before="41" w:line="154" w:lineRule="exact"/>
        <w:ind w:left="213" w:right="231"/>
        <w:jc w:val="both"/>
        <w:rPr>
          <w:rFonts w:cs="Arial"/>
          <w:sz w:val="18"/>
          <w:szCs w:val="18"/>
        </w:rPr>
      </w:pPr>
      <w:r w:rsidRPr="0084527C">
        <w:rPr>
          <w:rFonts w:cs="Arial"/>
          <w:sz w:val="18"/>
          <w:szCs w:val="18"/>
        </w:rPr>
        <w:t xml:space="preserve">Dr Remy Rees-Goddard is a Surgical Trainee in the NHS, United Kingdom. He is an Affiliate </w:t>
      </w:r>
      <w:r w:rsidR="00A64E6E" w:rsidRPr="0084527C">
        <w:rPr>
          <w:rFonts w:cs="Arial"/>
          <w:sz w:val="18"/>
          <w:szCs w:val="18"/>
        </w:rPr>
        <w:t>M</w:t>
      </w:r>
      <w:r w:rsidRPr="0084527C">
        <w:rPr>
          <w:rFonts w:cs="Arial"/>
          <w:sz w:val="18"/>
          <w:szCs w:val="18"/>
        </w:rPr>
        <w:t xml:space="preserve">ember of the Royal College of Surgeons, with a focus on Trauma and </w:t>
      </w:r>
      <w:proofErr w:type="spellStart"/>
      <w:r w:rsidRPr="0084527C">
        <w:rPr>
          <w:rFonts w:cs="Arial"/>
          <w:sz w:val="18"/>
          <w:szCs w:val="18"/>
        </w:rPr>
        <w:t>Orthopaedic</w:t>
      </w:r>
      <w:proofErr w:type="spellEnd"/>
      <w:r w:rsidRPr="0084527C">
        <w:rPr>
          <w:rFonts w:cs="Arial"/>
          <w:sz w:val="18"/>
          <w:szCs w:val="18"/>
        </w:rPr>
        <w:t xml:space="preserve"> Surgery, Educational Teaching and Research. He completed his Undergraduate Medical Degree and Queen’s University Belfast and currently practices in the Region of Wessex, South-East England. He currently works both within his local Trust and the Deanery of Wessex in Surgical Education and Research. His current area of interest is </w:t>
      </w:r>
      <w:r w:rsidR="00D76DB5" w:rsidRPr="0084527C">
        <w:rPr>
          <w:rFonts w:cs="Arial"/>
          <w:sz w:val="18"/>
          <w:szCs w:val="18"/>
        </w:rPr>
        <w:t>hip trauma.</w:t>
      </w:r>
    </w:p>
    <w:p w14:paraId="64D622F7" w14:textId="52976D94" w:rsidR="00AE3E37" w:rsidRPr="0084527C" w:rsidRDefault="00A9710C" w:rsidP="005824E3">
      <w:pPr>
        <w:spacing w:before="62"/>
        <w:ind w:left="4217" w:right="4235"/>
        <w:jc w:val="center"/>
        <w:rPr>
          <w:sz w:val="18"/>
          <w:szCs w:val="18"/>
        </w:rPr>
      </w:pPr>
      <w:r w:rsidRPr="0084527C">
        <w:rPr>
          <w:sz w:val="18"/>
          <w:szCs w:val="18"/>
        </w:rPr>
        <w:t xml:space="preserve">Email: </w:t>
      </w:r>
      <w:r w:rsidR="00292ED9" w:rsidRPr="0084527C">
        <w:rPr>
          <w:noProof/>
          <w:sz w:val="18"/>
          <w:szCs w:val="18"/>
          <w:lang w:val="en-IN" w:eastAsia="en-IN"/>
        </w:rPr>
        <mc:AlternateContent>
          <mc:Choice Requires="wps">
            <w:drawing>
              <wp:anchor distT="0" distB="0" distL="0" distR="0" simplePos="0" relativeHeight="1072" behindDoc="0" locked="0" layoutInCell="1" allowOverlap="1" wp14:anchorId="4CA585E6" wp14:editId="050EAAD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356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r w:rsidR="007E4435" w:rsidRPr="0084527C">
        <w:rPr>
          <w:sz w:val="18"/>
          <w:szCs w:val="18"/>
        </w:rPr>
        <w:t>remyrg@me.com</w:t>
      </w:r>
    </w:p>
    <w:p w14:paraId="048ACABE" w14:textId="33608CAA" w:rsidR="00AE3E37" w:rsidRPr="0084527C" w:rsidRDefault="00A9710C" w:rsidP="005824E3">
      <w:pPr>
        <w:spacing w:before="39"/>
        <w:ind w:left="100"/>
        <w:rPr>
          <w:b/>
          <w:sz w:val="20"/>
        </w:rPr>
        <w:sectPr w:rsidR="00AE3E37" w:rsidRPr="0084527C">
          <w:type w:val="continuous"/>
          <w:pgSz w:w="11910" w:h="16840"/>
          <w:pgMar w:top="1740" w:right="600" w:bottom="840" w:left="620" w:header="720" w:footer="720" w:gutter="0"/>
          <w:cols w:space="720"/>
        </w:sectPr>
      </w:pPr>
      <w:r w:rsidRPr="0084527C">
        <w:rPr>
          <w:b/>
          <w:sz w:val="20"/>
        </w:rPr>
        <w:t>Notes/Comment</w:t>
      </w:r>
      <w:r w:rsidR="005824E3" w:rsidRPr="0084527C">
        <w:rPr>
          <w:b/>
          <w:sz w:val="20"/>
        </w:rPr>
        <w:t>s</w:t>
      </w:r>
    </w:p>
    <w:p w14:paraId="5B907BF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D3B1F" w14:textId="77777777" w:rsidR="00AD480C" w:rsidRDefault="00AD480C">
      <w:r>
        <w:separator/>
      </w:r>
    </w:p>
  </w:endnote>
  <w:endnote w:type="continuationSeparator" w:id="0">
    <w:p w14:paraId="60CCCEBD" w14:textId="77777777" w:rsidR="00AD480C" w:rsidRDefault="00AD4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64CB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EBBF287" wp14:editId="5B53DD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F1E9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054C4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BBF28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24F1E9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054C4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B63EF74" wp14:editId="03E60B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906F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CC51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3EF7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23906F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CC51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B440B95" wp14:editId="6C7D1CA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0058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91DEF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40B9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3870058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91DEF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DE2D1" w14:textId="77777777" w:rsidR="00AD480C" w:rsidRDefault="00AD480C">
      <w:r>
        <w:separator/>
      </w:r>
    </w:p>
  </w:footnote>
  <w:footnote w:type="continuationSeparator" w:id="0">
    <w:p w14:paraId="1E7D6A49" w14:textId="77777777" w:rsidR="00AD480C" w:rsidRDefault="00AD4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21C9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C5D23C3" wp14:editId="7C31E9B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053F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D23C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16C053F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1E13289" wp14:editId="575C65D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C903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A666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1328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212C903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A666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27875242">
    <w:abstractNumId w:val="0"/>
  </w:num>
  <w:num w:numId="2" w16cid:durableId="1822427311">
    <w:abstractNumId w:val="1"/>
  </w:num>
  <w:num w:numId="3" w16cid:durableId="47725954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A406C"/>
    <w:rsid w:val="000E2911"/>
    <w:rsid w:val="001263DF"/>
    <w:rsid w:val="001E763C"/>
    <w:rsid w:val="0021345A"/>
    <w:rsid w:val="00292ED9"/>
    <w:rsid w:val="00314AFB"/>
    <w:rsid w:val="00316B79"/>
    <w:rsid w:val="00320B56"/>
    <w:rsid w:val="003B76D9"/>
    <w:rsid w:val="00404E5B"/>
    <w:rsid w:val="00414F7B"/>
    <w:rsid w:val="004355DC"/>
    <w:rsid w:val="004749B4"/>
    <w:rsid w:val="00494130"/>
    <w:rsid w:val="004F3523"/>
    <w:rsid w:val="005824E3"/>
    <w:rsid w:val="005973B9"/>
    <w:rsid w:val="005B3A56"/>
    <w:rsid w:val="005D71BC"/>
    <w:rsid w:val="006060CE"/>
    <w:rsid w:val="00620530"/>
    <w:rsid w:val="0063497F"/>
    <w:rsid w:val="00752735"/>
    <w:rsid w:val="0078738A"/>
    <w:rsid w:val="007976CA"/>
    <w:rsid w:val="007E4435"/>
    <w:rsid w:val="0084527C"/>
    <w:rsid w:val="00873DF0"/>
    <w:rsid w:val="008756E6"/>
    <w:rsid w:val="009275C9"/>
    <w:rsid w:val="00936FD4"/>
    <w:rsid w:val="009B2D44"/>
    <w:rsid w:val="009F11F9"/>
    <w:rsid w:val="00A07E82"/>
    <w:rsid w:val="00A63C1B"/>
    <w:rsid w:val="00A64E6E"/>
    <w:rsid w:val="00A9710C"/>
    <w:rsid w:val="00AD480C"/>
    <w:rsid w:val="00AE3E37"/>
    <w:rsid w:val="00B21A57"/>
    <w:rsid w:val="00B277AB"/>
    <w:rsid w:val="00B828FE"/>
    <w:rsid w:val="00C33602"/>
    <w:rsid w:val="00C37CFE"/>
    <w:rsid w:val="00CD6F55"/>
    <w:rsid w:val="00D067F8"/>
    <w:rsid w:val="00D33E59"/>
    <w:rsid w:val="00D62425"/>
    <w:rsid w:val="00D76DB5"/>
    <w:rsid w:val="00DE3104"/>
    <w:rsid w:val="00F1019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A58BF"/>
  <w15:docId w15:val="{7C671C12-2BD8-754B-8D20-E73723C1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76D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96755">
      <w:bodyDiv w:val="1"/>
      <w:marLeft w:val="0"/>
      <w:marRight w:val="0"/>
      <w:marTop w:val="0"/>
      <w:marBottom w:val="0"/>
      <w:divBdr>
        <w:top w:val="none" w:sz="0" w:space="0" w:color="auto"/>
        <w:left w:val="none" w:sz="0" w:space="0" w:color="auto"/>
        <w:bottom w:val="none" w:sz="0" w:space="0" w:color="auto"/>
        <w:right w:val="none" w:sz="0" w:space="0" w:color="auto"/>
      </w:divBdr>
      <w:divsChild>
        <w:div w:id="1182823172">
          <w:marLeft w:val="0"/>
          <w:marRight w:val="0"/>
          <w:marTop w:val="0"/>
          <w:marBottom w:val="0"/>
          <w:divBdr>
            <w:top w:val="none" w:sz="0" w:space="0" w:color="auto"/>
            <w:left w:val="none" w:sz="0" w:space="0" w:color="auto"/>
            <w:bottom w:val="none" w:sz="0" w:space="0" w:color="auto"/>
            <w:right w:val="none" w:sz="0" w:space="0" w:color="auto"/>
          </w:divBdr>
          <w:divsChild>
            <w:div w:id="1559583312">
              <w:marLeft w:val="0"/>
              <w:marRight w:val="0"/>
              <w:marTop w:val="0"/>
              <w:marBottom w:val="0"/>
              <w:divBdr>
                <w:top w:val="none" w:sz="0" w:space="0" w:color="auto"/>
                <w:left w:val="none" w:sz="0" w:space="0" w:color="auto"/>
                <w:bottom w:val="none" w:sz="0" w:space="0" w:color="auto"/>
                <w:right w:val="none" w:sz="0" w:space="0" w:color="auto"/>
              </w:divBdr>
              <w:divsChild>
                <w:div w:id="196688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348856">
      <w:bodyDiv w:val="1"/>
      <w:marLeft w:val="0"/>
      <w:marRight w:val="0"/>
      <w:marTop w:val="0"/>
      <w:marBottom w:val="0"/>
      <w:divBdr>
        <w:top w:val="none" w:sz="0" w:space="0" w:color="auto"/>
        <w:left w:val="none" w:sz="0" w:space="0" w:color="auto"/>
        <w:bottom w:val="none" w:sz="0" w:space="0" w:color="auto"/>
        <w:right w:val="none" w:sz="0" w:space="0" w:color="auto"/>
      </w:divBdr>
      <w:divsChild>
        <w:div w:id="1777023150">
          <w:marLeft w:val="0"/>
          <w:marRight w:val="0"/>
          <w:marTop w:val="0"/>
          <w:marBottom w:val="0"/>
          <w:divBdr>
            <w:top w:val="none" w:sz="0" w:space="0" w:color="auto"/>
            <w:left w:val="none" w:sz="0" w:space="0" w:color="auto"/>
            <w:bottom w:val="none" w:sz="0" w:space="0" w:color="auto"/>
            <w:right w:val="none" w:sz="0" w:space="0" w:color="auto"/>
          </w:divBdr>
          <w:divsChild>
            <w:div w:id="1337883372">
              <w:marLeft w:val="0"/>
              <w:marRight w:val="0"/>
              <w:marTop w:val="0"/>
              <w:marBottom w:val="0"/>
              <w:divBdr>
                <w:top w:val="none" w:sz="0" w:space="0" w:color="auto"/>
                <w:left w:val="none" w:sz="0" w:space="0" w:color="auto"/>
                <w:bottom w:val="none" w:sz="0" w:space="0" w:color="auto"/>
                <w:right w:val="none" w:sz="0" w:space="0" w:color="auto"/>
              </w:divBdr>
              <w:divsChild>
                <w:div w:id="200173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20900">
      <w:bodyDiv w:val="1"/>
      <w:marLeft w:val="0"/>
      <w:marRight w:val="0"/>
      <w:marTop w:val="0"/>
      <w:marBottom w:val="0"/>
      <w:divBdr>
        <w:top w:val="none" w:sz="0" w:space="0" w:color="auto"/>
        <w:left w:val="none" w:sz="0" w:space="0" w:color="auto"/>
        <w:bottom w:val="none" w:sz="0" w:space="0" w:color="auto"/>
        <w:right w:val="none" w:sz="0" w:space="0" w:color="auto"/>
      </w:divBdr>
      <w:divsChild>
        <w:div w:id="1478763957">
          <w:marLeft w:val="0"/>
          <w:marRight w:val="0"/>
          <w:marTop w:val="0"/>
          <w:marBottom w:val="0"/>
          <w:divBdr>
            <w:top w:val="none" w:sz="0" w:space="0" w:color="auto"/>
            <w:left w:val="none" w:sz="0" w:space="0" w:color="auto"/>
            <w:bottom w:val="none" w:sz="0" w:space="0" w:color="auto"/>
            <w:right w:val="none" w:sz="0" w:space="0" w:color="auto"/>
          </w:divBdr>
          <w:divsChild>
            <w:div w:id="1424641929">
              <w:marLeft w:val="0"/>
              <w:marRight w:val="0"/>
              <w:marTop w:val="0"/>
              <w:marBottom w:val="0"/>
              <w:divBdr>
                <w:top w:val="none" w:sz="0" w:space="0" w:color="auto"/>
                <w:left w:val="none" w:sz="0" w:space="0" w:color="auto"/>
                <w:bottom w:val="none" w:sz="0" w:space="0" w:color="auto"/>
                <w:right w:val="none" w:sz="0" w:space="0" w:color="auto"/>
              </w:divBdr>
              <w:divsChild>
                <w:div w:id="17882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remyrg@me.com</cp:lastModifiedBy>
  <cp:revision>2</cp:revision>
  <dcterms:created xsi:type="dcterms:W3CDTF">2022-11-02T22:01:00Z</dcterms:created>
  <dcterms:modified xsi:type="dcterms:W3CDTF">2022-11-02T22:01:00Z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