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63D02" w14:textId="3B682799" w:rsidR="00AE3E37" w:rsidRPr="002A5338" w:rsidRDefault="00A97286" w:rsidP="00494130">
      <w:pPr>
        <w:pStyle w:val="Heading1"/>
        <w:spacing w:before="170"/>
        <w:ind w:left="0"/>
        <w:rPr>
          <w:rFonts w:ascii="Arial" w:hAnsi="Arial" w:cs="Arial"/>
        </w:rPr>
      </w:pPr>
      <w:r w:rsidRPr="002A5338">
        <w:rPr>
          <w:rFonts w:ascii="Arial" w:hAnsi="Arial" w:cs="Arial"/>
          <w:color w:val="337AB7"/>
        </w:rPr>
        <w:t xml:space="preserve">Choosing the right graft for anterior cruciate ligament repair: </w:t>
      </w:r>
      <w:r w:rsidR="002A5338" w:rsidRPr="002A5338">
        <w:rPr>
          <w:rFonts w:ascii="Arial" w:hAnsi="Arial" w:cs="Arial"/>
          <w:color w:val="337AB7"/>
        </w:rPr>
        <w:t>3-year</w:t>
      </w:r>
      <w:r w:rsidR="007D1457" w:rsidRPr="002A5338">
        <w:rPr>
          <w:rFonts w:ascii="Arial" w:hAnsi="Arial" w:cs="Arial"/>
          <w:color w:val="337AB7"/>
        </w:rPr>
        <w:t xml:space="preserve"> </w:t>
      </w:r>
      <w:r w:rsidRPr="002A5338">
        <w:rPr>
          <w:rFonts w:ascii="Arial" w:hAnsi="Arial" w:cs="Arial"/>
          <w:color w:val="337AB7"/>
        </w:rPr>
        <w:t xml:space="preserve">results from a prospective cohort study. </w:t>
      </w:r>
    </w:p>
    <w:p w14:paraId="40619C85" w14:textId="77777777" w:rsidR="00CB6ADE" w:rsidRDefault="00CB6ADE" w:rsidP="00CB6ADE">
      <w:pPr>
        <w:pStyle w:val="BodyText"/>
        <w:spacing w:before="73" w:line="198" w:lineRule="exact"/>
        <w:ind w:left="100" w:right="484"/>
        <w:rPr>
          <w:rFonts w:ascii="Arial" w:hAnsi="Arial" w:cs="Arial"/>
        </w:rPr>
      </w:pPr>
      <w:r>
        <w:rPr>
          <w:rFonts w:ascii="Arial" w:hAnsi="Arial" w:cs="Arial"/>
        </w:rPr>
        <w:t xml:space="preserve">Dr Remy Rees-Goddard, Trauma and </w:t>
      </w:r>
      <w:proofErr w:type="spellStart"/>
      <w:r>
        <w:rPr>
          <w:rFonts w:ascii="Arial" w:hAnsi="Arial" w:cs="Arial"/>
        </w:rPr>
        <w:t>Orthopaedic</w:t>
      </w:r>
      <w:proofErr w:type="spellEnd"/>
      <w:r>
        <w:rPr>
          <w:rFonts w:ascii="Arial" w:hAnsi="Arial" w:cs="Arial"/>
        </w:rPr>
        <w:t xml:space="preserve"> Surgery, Isle of Wight Trust, PO30 5TG, United Kingdom</w:t>
      </w:r>
    </w:p>
    <w:p w14:paraId="2987B85D" w14:textId="19F2F33F" w:rsidR="008A7F98" w:rsidRDefault="008A7F98" w:rsidP="00A97286">
      <w:pPr>
        <w:pStyle w:val="BodyText"/>
        <w:spacing w:before="73" w:line="198" w:lineRule="exact"/>
        <w:ind w:left="100" w:right="484"/>
        <w:rPr>
          <w:rFonts w:ascii="Arial" w:hAnsi="Arial" w:cs="Arial"/>
        </w:rPr>
      </w:pPr>
      <w:r>
        <w:rPr>
          <w:rFonts w:ascii="Arial" w:hAnsi="Arial" w:cs="Arial"/>
        </w:rPr>
        <w:t xml:space="preserve">Dr Mary </w:t>
      </w:r>
      <w:proofErr w:type="spellStart"/>
      <w:r>
        <w:rPr>
          <w:rFonts w:ascii="Arial" w:hAnsi="Arial" w:cs="Arial"/>
        </w:rPr>
        <w:t>Pissaridou</w:t>
      </w:r>
      <w:proofErr w:type="spellEnd"/>
      <w:r w:rsidRPr="002A5338">
        <w:rPr>
          <w:rFonts w:ascii="Arial" w:hAnsi="Arial" w:cs="Arial"/>
        </w:rPr>
        <w:t xml:space="preserve">, </w:t>
      </w:r>
      <w:r w:rsidRPr="002A5338">
        <w:rPr>
          <w:rFonts w:ascii="Arial" w:hAnsi="Arial" w:cs="Arial"/>
          <w:lang w:val="en-GB"/>
        </w:rPr>
        <w:t xml:space="preserve">Oxford School </w:t>
      </w:r>
      <w:proofErr w:type="gramStart"/>
      <w:r w:rsidRPr="002A5338">
        <w:rPr>
          <w:rFonts w:ascii="Arial" w:hAnsi="Arial" w:cs="Arial"/>
          <w:lang w:val="en-GB"/>
        </w:rPr>
        <w:t>Of</w:t>
      </w:r>
      <w:proofErr w:type="gramEnd"/>
      <w:r w:rsidRPr="002A5338">
        <w:rPr>
          <w:rFonts w:ascii="Arial" w:hAnsi="Arial" w:cs="Arial"/>
          <w:lang w:val="en-GB"/>
        </w:rPr>
        <w:t xml:space="preserve"> </w:t>
      </w:r>
      <w:r w:rsidR="00CB6ADE" w:rsidRPr="002A5338">
        <w:rPr>
          <w:rFonts w:ascii="Arial" w:hAnsi="Arial" w:cs="Arial"/>
          <w:lang w:val="en-GB"/>
        </w:rPr>
        <w:t>Surgery, Oxford</w:t>
      </w:r>
      <w:r w:rsidRPr="002A5338">
        <w:rPr>
          <w:rFonts w:ascii="Arial" w:hAnsi="Arial" w:cs="Arial"/>
          <w:lang w:val="en-GB"/>
        </w:rPr>
        <w:t xml:space="preserve"> Business Park, Oxford, OX4 2GX, United Kingdom</w:t>
      </w:r>
    </w:p>
    <w:p w14:paraId="653F58C8" w14:textId="560DDEE8" w:rsidR="0078738A" w:rsidRPr="002A5338" w:rsidRDefault="0078738A" w:rsidP="00A97286">
      <w:pPr>
        <w:pStyle w:val="BodyText"/>
        <w:spacing w:before="73" w:line="198" w:lineRule="exact"/>
        <w:ind w:left="100" w:right="484"/>
        <w:rPr>
          <w:rFonts w:ascii="Arial" w:hAnsi="Arial" w:cs="Arial"/>
        </w:rPr>
      </w:pPr>
      <w:r w:rsidRPr="002A5338">
        <w:rPr>
          <w:rFonts w:ascii="Arial" w:hAnsi="Arial" w:cs="Arial"/>
        </w:rPr>
        <w:t xml:space="preserve">Dr </w:t>
      </w:r>
      <w:r w:rsidR="00A97286" w:rsidRPr="002A5338">
        <w:rPr>
          <w:rFonts w:ascii="Arial" w:hAnsi="Arial" w:cs="Arial"/>
        </w:rPr>
        <w:t xml:space="preserve">Kim </w:t>
      </w:r>
      <w:proofErr w:type="spellStart"/>
      <w:r w:rsidR="00A97286" w:rsidRPr="002A5338">
        <w:rPr>
          <w:rFonts w:ascii="Arial" w:hAnsi="Arial" w:cs="Arial"/>
        </w:rPr>
        <w:t>Borsky</w:t>
      </w:r>
      <w:proofErr w:type="spellEnd"/>
      <w:r w:rsidR="00A97286" w:rsidRPr="002A5338">
        <w:rPr>
          <w:rFonts w:ascii="Arial" w:hAnsi="Arial" w:cs="Arial"/>
        </w:rPr>
        <w:t xml:space="preserve">, MRCS, </w:t>
      </w:r>
      <w:r w:rsidR="008A7F98">
        <w:rPr>
          <w:rFonts w:ascii="Arial" w:hAnsi="Arial" w:cs="Arial"/>
        </w:rPr>
        <w:t xml:space="preserve">MD, </w:t>
      </w:r>
      <w:r w:rsidR="00A97286" w:rsidRPr="002A5338">
        <w:rPr>
          <w:rFonts w:ascii="Arial" w:hAnsi="Arial" w:cs="Arial"/>
          <w:lang w:val="en-GB"/>
        </w:rPr>
        <w:t xml:space="preserve">Oxford School </w:t>
      </w:r>
      <w:proofErr w:type="gramStart"/>
      <w:r w:rsidR="00A97286" w:rsidRPr="002A5338">
        <w:rPr>
          <w:rFonts w:ascii="Arial" w:hAnsi="Arial" w:cs="Arial"/>
          <w:lang w:val="en-GB"/>
        </w:rPr>
        <w:t>Of</w:t>
      </w:r>
      <w:proofErr w:type="gramEnd"/>
      <w:r w:rsidR="00A97286" w:rsidRPr="002A5338">
        <w:rPr>
          <w:rFonts w:ascii="Arial" w:hAnsi="Arial" w:cs="Arial"/>
          <w:lang w:val="en-GB"/>
        </w:rPr>
        <w:t xml:space="preserve"> </w:t>
      </w:r>
      <w:r w:rsidR="00CB6ADE" w:rsidRPr="002A5338">
        <w:rPr>
          <w:rFonts w:ascii="Arial" w:hAnsi="Arial" w:cs="Arial"/>
          <w:lang w:val="en-GB"/>
        </w:rPr>
        <w:t>Surgery, Oxford</w:t>
      </w:r>
      <w:r w:rsidR="00A97286" w:rsidRPr="002A5338">
        <w:rPr>
          <w:rFonts w:ascii="Arial" w:hAnsi="Arial" w:cs="Arial"/>
          <w:lang w:val="en-GB"/>
        </w:rPr>
        <w:t xml:space="preserve"> Business Park, Oxford, OX4 2GX, United Kingdom</w:t>
      </w:r>
    </w:p>
    <w:p w14:paraId="4A3DCF71" w14:textId="67044184" w:rsidR="005973B9" w:rsidRPr="002A5338" w:rsidRDefault="0078738A" w:rsidP="00A97286">
      <w:pPr>
        <w:pStyle w:val="BodyText"/>
        <w:spacing w:before="73" w:line="198" w:lineRule="exact"/>
        <w:ind w:left="100" w:right="1618"/>
        <w:rPr>
          <w:rFonts w:ascii="Arial" w:hAnsi="Arial" w:cs="Arial"/>
        </w:rPr>
      </w:pPr>
      <w:r w:rsidRPr="002A5338">
        <w:rPr>
          <w:rFonts w:ascii="Arial" w:hAnsi="Arial" w:cs="Arial"/>
        </w:rPr>
        <w:t xml:space="preserve">Dr </w:t>
      </w:r>
      <w:r w:rsidR="00A97286" w:rsidRPr="002A5338">
        <w:rPr>
          <w:rFonts w:ascii="Arial" w:hAnsi="Arial" w:cs="Arial"/>
        </w:rPr>
        <w:t xml:space="preserve">Michael </w:t>
      </w:r>
      <w:proofErr w:type="spellStart"/>
      <w:r w:rsidR="00A97286" w:rsidRPr="002A5338">
        <w:rPr>
          <w:rFonts w:ascii="Arial" w:hAnsi="Arial" w:cs="Arial"/>
        </w:rPr>
        <w:t>Borsky</w:t>
      </w:r>
      <w:proofErr w:type="spellEnd"/>
      <w:r w:rsidR="00A97286" w:rsidRPr="002A5338">
        <w:rPr>
          <w:rFonts w:ascii="Arial" w:hAnsi="Arial" w:cs="Arial"/>
        </w:rPr>
        <w:t xml:space="preserve">, </w:t>
      </w:r>
      <w:r w:rsidR="007D1457" w:rsidRPr="002A5338">
        <w:rPr>
          <w:rFonts w:ascii="Arial" w:hAnsi="Arial" w:cs="Arial"/>
        </w:rPr>
        <w:t xml:space="preserve">MD, </w:t>
      </w:r>
      <w:r w:rsidR="00A97286" w:rsidRPr="002A5338">
        <w:rPr>
          <w:rFonts w:ascii="Arial" w:hAnsi="Arial" w:cs="Arial"/>
          <w:lang w:val="en-GB"/>
        </w:rPr>
        <w:t xml:space="preserve">Knee surgery division </w:t>
      </w:r>
      <w:proofErr w:type="spellStart"/>
      <w:r w:rsidR="00A97286" w:rsidRPr="002A5338">
        <w:rPr>
          <w:rFonts w:ascii="Arial" w:hAnsi="Arial" w:cs="Arial"/>
          <w:lang w:val="en-GB"/>
        </w:rPr>
        <w:t>etzelclinic</w:t>
      </w:r>
      <w:proofErr w:type="spellEnd"/>
      <w:r w:rsidR="00A97286" w:rsidRPr="002A5338">
        <w:rPr>
          <w:rFonts w:ascii="Arial" w:hAnsi="Arial" w:cs="Arial"/>
          <w:lang w:val="en-GB"/>
        </w:rPr>
        <w:t xml:space="preserve">, </w:t>
      </w:r>
      <w:proofErr w:type="spellStart"/>
      <w:r w:rsidR="00A97286" w:rsidRPr="002A5338">
        <w:rPr>
          <w:rFonts w:ascii="Arial" w:hAnsi="Arial" w:cs="Arial"/>
          <w:lang w:val="en-GB"/>
        </w:rPr>
        <w:t>Churerstr</w:t>
      </w:r>
      <w:proofErr w:type="spellEnd"/>
      <w:r w:rsidR="00A97286" w:rsidRPr="002A5338">
        <w:rPr>
          <w:rFonts w:ascii="Arial" w:hAnsi="Arial" w:cs="Arial"/>
          <w:lang w:val="en-GB"/>
        </w:rPr>
        <w:t xml:space="preserve">. 43, 8808 </w:t>
      </w:r>
      <w:proofErr w:type="spellStart"/>
      <w:r w:rsidR="00A97286" w:rsidRPr="002A5338">
        <w:rPr>
          <w:rFonts w:ascii="Arial" w:hAnsi="Arial" w:cs="Arial"/>
          <w:lang w:val="en-GB"/>
        </w:rPr>
        <w:t>Pfaeffikon</w:t>
      </w:r>
      <w:proofErr w:type="spellEnd"/>
      <w:r w:rsidR="00A97286" w:rsidRPr="002A5338">
        <w:rPr>
          <w:rFonts w:ascii="Arial" w:hAnsi="Arial" w:cs="Arial"/>
          <w:lang w:val="en-GB"/>
        </w:rPr>
        <w:t>, Switzerland</w:t>
      </w:r>
    </w:p>
    <w:p w14:paraId="404BF346" w14:textId="77777777" w:rsidR="00AE3E37" w:rsidRPr="002A5338" w:rsidRDefault="00AE3E37">
      <w:pPr>
        <w:pStyle w:val="BodyText"/>
        <w:rPr>
          <w:rFonts w:ascii="Arial" w:hAnsi="Arial" w:cs="Arial"/>
          <w:sz w:val="20"/>
        </w:rPr>
      </w:pPr>
    </w:p>
    <w:p w14:paraId="03340B3B" w14:textId="77777777" w:rsidR="00AE3E37" w:rsidRPr="002A5338" w:rsidRDefault="00AE3E37">
      <w:pPr>
        <w:rPr>
          <w:rFonts w:ascii="Arial" w:hAnsi="Arial" w:cs="Arial"/>
          <w:sz w:val="21"/>
        </w:rPr>
      </w:pPr>
    </w:p>
    <w:p w14:paraId="43EF1577" w14:textId="466A9DC9" w:rsidR="00A97286" w:rsidRPr="002A5338" w:rsidRDefault="00A97286">
      <w:pPr>
        <w:rPr>
          <w:rFonts w:ascii="Arial" w:hAnsi="Arial" w:cs="Arial"/>
          <w:sz w:val="21"/>
        </w:rPr>
        <w:sectPr w:rsidR="00A97286" w:rsidRPr="002A5338">
          <w:headerReference w:type="default" r:id="rId7"/>
          <w:footerReference w:type="default" r:id="rId8"/>
          <w:type w:val="continuous"/>
          <w:pgSz w:w="11910" w:h="16840"/>
          <w:pgMar w:top="1740" w:right="600" w:bottom="840" w:left="620" w:header="541" w:footer="642" w:gutter="0"/>
          <w:cols w:space="720"/>
        </w:sectPr>
      </w:pPr>
    </w:p>
    <w:p w14:paraId="46173FBC" w14:textId="0168C94E" w:rsidR="00AE3E37" w:rsidRPr="002A5338" w:rsidRDefault="00A9710C">
      <w:pPr>
        <w:pStyle w:val="Heading3"/>
        <w:spacing w:before="147"/>
        <w:jc w:val="both"/>
      </w:pPr>
      <w:r w:rsidRPr="002A5338">
        <w:rPr>
          <w:color w:val="BF5A14"/>
        </w:rPr>
        <w:t>Abstract</w:t>
      </w:r>
    </w:p>
    <w:p w14:paraId="070B9376" w14:textId="77777777" w:rsidR="00EF5692" w:rsidRPr="002A5338" w:rsidRDefault="00EF5692" w:rsidP="009427D0">
      <w:pPr>
        <w:pStyle w:val="Heading3"/>
        <w:spacing w:before="74"/>
        <w:jc w:val="both"/>
        <w:rPr>
          <w:b w:val="0"/>
          <w:bCs w:val="0"/>
          <w:sz w:val="18"/>
          <w:szCs w:val="18"/>
          <w:lang w:val="en-GB"/>
        </w:rPr>
      </w:pPr>
      <w:r w:rsidRPr="002A5338">
        <w:rPr>
          <w:sz w:val="18"/>
          <w:szCs w:val="18"/>
          <w:lang w:val="en-GB"/>
        </w:rPr>
        <w:t>Objective</w:t>
      </w:r>
      <w:r w:rsidRPr="002A5338">
        <w:rPr>
          <w:b w:val="0"/>
          <w:bCs w:val="0"/>
          <w:sz w:val="18"/>
          <w:szCs w:val="18"/>
          <w:lang w:val="en-GB"/>
        </w:rPr>
        <w:t>: The best graft for anterior cruciate ligament (ACL) repair has long been an enthusiastically discussed topic in literature and amongst experts. We evaluated patients undergoing ACL replacement comparing the results of different types of grafts. </w:t>
      </w:r>
    </w:p>
    <w:p w14:paraId="6224BD6D" w14:textId="77777777" w:rsidR="00EF5692" w:rsidRPr="002A5338" w:rsidRDefault="00EF5692" w:rsidP="009427D0">
      <w:pPr>
        <w:pStyle w:val="Heading3"/>
        <w:spacing w:before="74"/>
        <w:jc w:val="both"/>
        <w:rPr>
          <w:b w:val="0"/>
          <w:bCs w:val="0"/>
          <w:sz w:val="18"/>
          <w:szCs w:val="18"/>
          <w:lang w:val="en-GB"/>
        </w:rPr>
      </w:pPr>
      <w:r w:rsidRPr="002A5338">
        <w:rPr>
          <w:sz w:val="18"/>
          <w:szCs w:val="18"/>
          <w:lang w:val="en-GB"/>
        </w:rPr>
        <w:t>Methods</w:t>
      </w:r>
      <w:r w:rsidRPr="002A5338">
        <w:rPr>
          <w:b w:val="0"/>
          <w:bCs w:val="0"/>
          <w:sz w:val="18"/>
          <w:szCs w:val="18"/>
          <w:lang w:val="en-GB"/>
        </w:rPr>
        <w:t xml:space="preserve">: All ACL repairs at a single centre in 2016-2017 were included in a prospective, non-randomized manner. 3 years after ACL replacement </w:t>
      </w:r>
      <w:proofErr w:type="spellStart"/>
      <w:r w:rsidRPr="002A5338">
        <w:rPr>
          <w:b w:val="0"/>
          <w:bCs w:val="0"/>
          <w:sz w:val="18"/>
          <w:szCs w:val="18"/>
          <w:lang w:val="en-GB"/>
        </w:rPr>
        <w:t>Lysholm</w:t>
      </w:r>
      <w:proofErr w:type="spellEnd"/>
      <w:r w:rsidRPr="002A5338">
        <w:rPr>
          <w:b w:val="0"/>
          <w:bCs w:val="0"/>
          <w:sz w:val="18"/>
          <w:szCs w:val="18"/>
          <w:lang w:val="en-GB"/>
        </w:rPr>
        <w:t xml:space="preserve">, </w:t>
      </w:r>
      <w:proofErr w:type="spellStart"/>
      <w:r w:rsidRPr="002A5338">
        <w:rPr>
          <w:b w:val="0"/>
          <w:bCs w:val="0"/>
          <w:sz w:val="18"/>
          <w:szCs w:val="18"/>
          <w:lang w:val="en-GB"/>
        </w:rPr>
        <w:t>Tegner</w:t>
      </w:r>
      <w:proofErr w:type="spellEnd"/>
      <w:r w:rsidRPr="002A5338">
        <w:rPr>
          <w:b w:val="0"/>
          <w:bCs w:val="0"/>
          <w:sz w:val="18"/>
          <w:szCs w:val="18"/>
          <w:lang w:val="en-GB"/>
        </w:rPr>
        <w:t xml:space="preserve"> and IKDC scores were evaluated. Anterior translation was measured with </w:t>
      </w:r>
      <w:proofErr w:type="spellStart"/>
      <w:proofErr w:type="gramStart"/>
      <w:r w:rsidRPr="002A5338">
        <w:rPr>
          <w:b w:val="0"/>
          <w:bCs w:val="0"/>
          <w:sz w:val="18"/>
          <w:szCs w:val="18"/>
          <w:lang w:val="en-GB"/>
        </w:rPr>
        <w:t>rollimeter</w:t>
      </w:r>
      <w:proofErr w:type="spellEnd"/>
      <w:proofErr w:type="gramEnd"/>
      <w:r w:rsidRPr="002A5338">
        <w:rPr>
          <w:b w:val="0"/>
          <w:bCs w:val="0"/>
          <w:sz w:val="18"/>
          <w:szCs w:val="18"/>
          <w:lang w:val="en-GB"/>
        </w:rPr>
        <w:t xml:space="preserve"> and rotational stability tested by the pivot shift. Patients were asked to score donor site morbidity and anterior knee pain. </w:t>
      </w:r>
    </w:p>
    <w:p w14:paraId="3683FB34" w14:textId="77777777" w:rsidR="00EF5692" w:rsidRPr="002A5338" w:rsidRDefault="00EF5692" w:rsidP="009427D0">
      <w:pPr>
        <w:pStyle w:val="Heading3"/>
        <w:spacing w:before="74"/>
        <w:jc w:val="both"/>
        <w:rPr>
          <w:b w:val="0"/>
          <w:bCs w:val="0"/>
          <w:sz w:val="18"/>
          <w:szCs w:val="18"/>
          <w:lang w:val="en-GB"/>
        </w:rPr>
      </w:pPr>
      <w:r w:rsidRPr="002A5338">
        <w:rPr>
          <w:sz w:val="18"/>
          <w:szCs w:val="18"/>
          <w:lang w:val="en-GB"/>
        </w:rPr>
        <w:t>Results</w:t>
      </w:r>
      <w:r w:rsidRPr="002A5338">
        <w:rPr>
          <w:b w:val="0"/>
          <w:bCs w:val="0"/>
          <w:sz w:val="18"/>
          <w:szCs w:val="18"/>
          <w:lang w:val="en-GB"/>
        </w:rPr>
        <w:t xml:space="preserve">: Out of the 209 included patients, 183 were available to follow up. There were 29 bone tendon bone (BTB) autografts (A), 53 BTB allografts (B), 91 hamstring autografts (C) and 10 peroneus allografts (D) with no statistically significant demographic differences between the 4 groups. There was no significant difference regarding the </w:t>
      </w:r>
      <w:proofErr w:type="spellStart"/>
      <w:r w:rsidRPr="002A5338">
        <w:rPr>
          <w:b w:val="0"/>
          <w:bCs w:val="0"/>
          <w:sz w:val="18"/>
          <w:szCs w:val="18"/>
          <w:lang w:val="en-GB"/>
        </w:rPr>
        <w:t>Lysholm</w:t>
      </w:r>
      <w:proofErr w:type="spellEnd"/>
      <w:r w:rsidRPr="002A5338">
        <w:rPr>
          <w:b w:val="0"/>
          <w:bCs w:val="0"/>
          <w:sz w:val="18"/>
          <w:szCs w:val="18"/>
          <w:lang w:val="en-GB"/>
        </w:rPr>
        <w:t xml:space="preserve">, IKDC and </w:t>
      </w:r>
      <w:proofErr w:type="spellStart"/>
      <w:r w:rsidRPr="002A5338">
        <w:rPr>
          <w:b w:val="0"/>
          <w:bCs w:val="0"/>
          <w:sz w:val="18"/>
          <w:szCs w:val="18"/>
          <w:lang w:val="en-GB"/>
        </w:rPr>
        <w:t>Tegner</w:t>
      </w:r>
      <w:proofErr w:type="spellEnd"/>
      <w:r w:rsidRPr="002A5338">
        <w:rPr>
          <w:b w:val="0"/>
          <w:bCs w:val="0"/>
          <w:sz w:val="18"/>
          <w:szCs w:val="18"/>
          <w:lang w:val="en-GB"/>
        </w:rPr>
        <w:t xml:space="preserve"> score or regarding patients with negative pivot shift (more than 93% each). The anterior translation was slightly better in the BTB allograft group -0.30 ±1.29 (B) versus 0.39 ±1.29 (A) and 0.46 ±1.23 (C) respectively (p&lt;0.05). Anterior knee pain was absent only in 14% of the Patients in group A compared to 77% in group B, 97% in group C and 83% in group D respectively (p&lt;0.001).</w:t>
      </w:r>
    </w:p>
    <w:p w14:paraId="0048D65B" w14:textId="2652103C" w:rsidR="00EF5692" w:rsidRPr="002A5338" w:rsidRDefault="00EF5692" w:rsidP="009427D0">
      <w:pPr>
        <w:pStyle w:val="Heading3"/>
        <w:spacing w:before="74"/>
        <w:jc w:val="both"/>
        <w:rPr>
          <w:b w:val="0"/>
          <w:bCs w:val="0"/>
          <w:sz w:val="18"/>
          <w:szCs w:val="18"/>
          <w:lang w:val="en-GB"/>
        </w:rPr>
      </w:pPr>
      <w:r w:rsidRPr="002A5338">
        <w:rPr>
          <w:sz w:val="18"/>
          <w:szCs w:val="18"/>
          <w:lang w:val="en-GB"/>
        </w:rPr>
        <w:t>Conclusion</w:t>
      </w:r>
      <w:r w:rsidRPr="002A5338">
        <w:rPr>
          <w:b w:val="0"/>
          <w:bCs w:val="0"/>
          <w:sz w:val="18"/>
          <w:szCs w:val="18"/>
          <w:lang w:val="en-GB"/>
        </w:rPr>
        <w:t xml:space="preserve">: Beside financial arguments the BTB allograft could be the graft of choice for ACL reconstruction showing slightly better a/p stability at three years compared to BTB autograft and hamstring autograft whilst avoiding donor site morbidity. </w:t>
      </w:r>
    </w:p>
    <w:p w14:paraId="43B788D8" w14:textId="5B450561" w:rsidR="00AE3E37" w:rsidRPr="002A5338" w:rsidRDefault="00A9710C">
      <w:pPr>
        <w:pStyle w:val="Heading3"/>
        <w:spacing w:before="74"/>
      </w:pPr>
      <w:r w:rsidRPr="002A5338">
        <w:rPr>
          <w:b w:val="0"/>
        </w:rPr>
        <w:br w:type="column"/>
      </w:r>
      <w:r w:rsidRPr="002A5338">
        <w:rPr>
          <w:color w:val="BF5A14"/>
        </w:rPr>
        <w:t>Image</w:t>
      </w:r>
    </w:p>
    <w:p w14:paraId="73098FBF" w14:textId="6B71337D" w:rsidR="00AE3E37" w:rsidRPr="002A5338" w:rsidRDefault="000A52C0">
      <w:pPr>
        <w:pStyle w:val="BodyText"/>
        <w:spacing w:before="2"/>
        <w:rPr>
          <w:rFonts w:ascii="Arial" w:hAnsi="Arial" w:cs="Arial"/>
          <w:b/>
          <w:sz w:val="16"/>
        </w:rPr>
      </w:pPr>
      <w:r>
        <w:rPr>
          <w:rFonts w:ascii="Arial" w:hAnsi="Arial" w:cs="Arial"/>
          <w:noProof/>
          <w:sz w:val="26"/>
        </w:rPr>
        <w:drawing>
          <wp:inline distT="0" distB="0" distL="0" distR="0" wp14:anchorId="1159D913" wp14:editId="70D13F76">
            <wp:extent cx="3165475" cy="1066565"/>
            <wp:effectExtent l="0" t="0" r="0" b="635"/>
            <wp:docPr id="4" name="Picture 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a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066565"/>
                    </a:xfrm>
                    <a:prstGeom prst="rect">
                      <a:avLst/>
                    </a:prstGeom>
                  </pic:spPr>
                </pic:pic>
              </a:graphicData>
            </a:graphic>
          </wp:inline>
        </w:drawing>
      </w:r>
    </w:p>
    <w:p w14:paraId="50DC84F4" w14:textId="51FDAFCF" w:rsidR="005973B9" w:rsidRPr="002A5338" w:rsidRDefault="005973B9" w:rsidP="005973B9">
      <w:pPr>
        <w:spacing w:line="204" w:lineRule="exact"/>
        <w:rPr>
          <w:rFonts w:ascii="Arial" w:hAnsi="Arial" w:cs="Arial"/>
          <w:b/>
          <w:sz w:val="20"/>
        </w:rPr>
      </w:pPr>
      <w:r w:rsidRPr="002A5338">
        <w:rPr>
          <w:rFonts w:ascii="Arial" w:hAnsi="Arial" w:cs="Arial"/>
          <w:b/>
          <w:color w:val="BF5A14"/>
          <w:sz w:val="20"/>
        </w:rPr>
        <w:br/>
        <w:t>Recent Publications</w:t>
      </w:r>
    </w:p>
    <w:p w14:paraId="1511BB94" w14:textId="2B07A582" w:rsidR="000A52C0" w:rsidRPr="00FA2BF8" w:rsidRDefault="000A52C0" w:rsidP="000A52C0">
      <w:pPr>
        <w:pStyle w:val="ListParagraph"/>
        <w:widowControl/>
        <w:numPr>
          <w:ilvl w:val="0"/>
          <w:numId w:val="3"/>
        </w:numPr>
        <w:rPr>
          <w:rFonts w:ascii="Arial" w:eastAsia="Times New Roman" w:hAnsi="Arial" w:cs="Arial"/>
          <w:sz w:val="18"/>
          <w:szCs w:val="18"/>
          <w:lang w:eastAsia="en-GB"/>
        </w:rPr>
      </w:pPr>
      <w:r w:rsidRPr="00FA2BF8">
        <w:rPr>
          <w:rFonts w:ascii="Arial" w:eastAsia="Times New Roman" w:hAnsi="Arial" w:cs="Arial"/>
          <w:color w:val="212121"/>
          <w:sz w:val="18"/>
          <w:szCs w:val="18"/>
          <w:shd w:val="clear" w:color="auto" w:fill="FFFFFF"/>
          <w:lang w:eastAsia="en-GB"/>
        </w:rPr>
        <w:t>Muller B, Bowman KF Jr, Bedi A. ACL graft healing and biologics. Clin Sports Med. 2013 Jan;32(1):93-109</w:t>
      </w:r>
      <w:r w:rsidRPr="00FA2BF8">
        <w:rPr>
          <w:rFonts w:ascii="Arial" w:eastAsia="Times New Roman" w:hAnsi="Arial" w:cs="Arial"/>
          <w:color w:val="212121"/>
          <w:sz w:val="18"/>
          <w:szCs w:val="18"/>
          <w:shd w:val="clear" w:color="auto" w:fill="FFFFFF"/>
          <w:lang w:val="de-CH" w:eastAsia="en-GB"/>
        </w:rPr>
        <w:t>.</w:t>
      </w:r>
      <w:r w:rsidRPr="00FA2BF8">
        <w:rPr>
          <w:rFonts w:ascii="Arial" w:eastAsia="Times New Roman" w:hAnsi="Arial" w:cs="Arial"/>
          <w:color w:val="212121"/>
          <w:sz w:val="18"/>
          <w:szCs w:val="18"/>
          <w:shd w:val="clear" w:color="auto" w:fill="FFFFFF"/>
          <w:lang w:eastAsia="en-GB"/>
        </w:rPr>
        <w:t xml:space="preserve"> </w:t>
      </w:r>
    </w:p>
    <w:p w14:paraId="33CE267B" w14:textId="77777777" w:rsidR="000A52C0" w:rsidRPr="00FA2BF8" w:rsidRDefault="000A52C0" w:rsidP="000A52C0">
      <w:pPr>
        <w:pStyle w:val="ListParagraph"/>
        <w:widowControl/>
        <w:numPr>
          <w:ilvl w:val="0"/>
          <w:numId w:val="3"/>
        </w:numPr>
        <w:rPr>
          <w:rFonts w:ascii="Arial" w:eastAsia="Times New Roman" w:hAnsi="Arial" w:cs="Arial"/>
          <w:sz w:val="18"/>
          <w:szCs w:val="18"/>
          <w:lang w:eastAsia="en-GB"/>
        </w:rPr>
      </w:pPr>
      <w:r w:rsidRPr="00FA2BF8">
        <w:rPr>
          <w:rFonts w:ascii="Arial" w:eastAsia="Times New Roman" w:hAnsi="Arial" w:cs="Arial"/>
          <w:color w:val="212121"/>
          <w:sz w:val="18"/>
          <w:szCs w:val="18"/>
          <w:shd w:val="clear" w:color="auto" w:fill="FFFFFF"/>
          <w:lang w:eastAsia="en-GB"/>
        </w:rPr>
        <w:t>Samuelsen BT, Webster KE, Johnson NR, Hewett TE, Krych AJ. Hamstring Autograft versus Patellar Tendon Autograft for ACL Reconstruction: Is There a Difference in Graft Failure Rate? A Meta-analysis of 47,613 Patients. Clin Orthop Relat Res. 2017 Oct;475(10):2459-2468.</w:t>
      </w:r>
    </w:p>
    <w:p w14:paraId="5CF34B6A" w14:textId="77777777" w:rsidR="000A52C0" w:rsidRPr="00FA2BF8" w:rsidRDefault="000A52C0" w:rsidP="000A52C0">
      <w:pPr>
        <w:pStyle w:val="ListParagraph"/>
        <w:widowControl/>
        <w:numPr>
          <w:ilvl w:val="0"/>
          <w:numId w:val="3"/>
        </w:numPr>
        <w:rPr>
          <w:rFonts w:ascii="Arial" w:eastAsia="Times New Roman" w:hAnsi="Arial" w:cs="Arial"/>
          <w:sz w:val="18"/>
          <w:szCs w:val="18"/>
          <w:lang w:eastAsia="en-GB"/>
        </w:rPr>
      </w:pPr>
      <w:r w:rsidRPr="00FA2BF8">
        <w:rPr>
          <w:rFonts w:ascii="Arial" w:eastAsia="Times New Roman" w:hAnsi="Arial" w:cs="Arial"/>
          <w:color w:val="212121"/>
          <w:sz w:val="18"/>
          <w:szCs w:val="18"/>
          <w:shd w:val="clear" w:color="auto" w:fill="FFFFFF"/>
          <w:lang w:eastAsia="en-GB"/>
        </w:rPr>
        <w:t>Kaeding CC, Pedroza AD, Reinke EK, Huston LJ, Hewett TE, Flanigan DC; MOON Knee Group, Spindler KP. Change in Anterior Cruciate Ligament Graft Choice and Outcomes Over Time. Arthroscopy. 2017 Nov;33(11):2007-2014.</w:t>
      </w:r>
    </w:p>
    <w:p w14:paraId="3AF574C8" w14:textId="77777777" w:rsidR="000A52C0" w:rsidRPr="00FA2BF8" w:rsidRDefault="000A52C0" w:rsidP="000A52C0">
      <w:pPr>
        <w:pStyle w:val="ListParagraph"/>
        <w:widowControl/>
        <w:numPr>
          <w:ilvl w:val="0"/>
          <w:numId w:val="3"/>
        </w:numPr>
        <w:rPr>
          <w:rFonts w:ascii="Arial" w:eastAsia="Times New Roman" w:hAnsi="Arial" w:cs="Arial"/>
          <w:sz w:val="18"/>
          <w:szCs w:val="18"/>
          <w:lang w:eastAsia="en-GB"/>
        </w:rPr>
      </w:pPr>
      <w:r w:rsidRPr="00FA2BF8">
        <w:rPr>
          <w:rFonts w:ascii="Arial" w:eastAsia="Times New Roman" w:hAnsi="Arial" w:cs="Arial"/>
          <w:color w:val="212121"/>
          <w:sz w:val="18"/>
          <w:szCs w:val="18"/>
          <w:shd w:val="clear" w:color="auto" w:fill="FFFFFF"/>
          <w:lang w:eastAsia="en-GB"/>
        </w:rPr>
        <w:t>Mouarbes D, Menetrey J, Marot V, Courtot L, Berard E, Cavaignac E. Anterior Cruciate Ligament Reconstruction: A Systematic Review and Meta-analysis of Outcomes for Quadriceps Tendon Autograft Versus Bone-Patellar Tendon-Bone and Hamstring-Tendon Autografts. Am J Sports Med. 2019 Dec;47(14):3531-3540.</w:t>
      </w:r>
    </w:p>
    <w:p w14:paraId="6DEFCC56" w14:textId="77777777" w:rsidR="00FA2BF8" w:rsidRPr="00FA2BF8" w:rsidRDefault="005973B9" w:rsidP="00FA2BF8">
      <w:pPr>
        <w:pStyle w:val="BodyText"/>
        <w:spacing w:before="85" w:line="216" w:lineRule="exact"/>
        <w:ind w:left="383" w:right="138" w:hanging="284"/>
        <w:jc w:val="both"/>
        <w:rPr>
          <w:rFonts w:ascii="Arial" w:hAnsi="Arial" w:cs="Arial"/>
          <w:lang/>
        </w:rPr>
      </w:pPr>
      <w:r w:rsidRPr="00FA2BF8">
        <w:rPr>
          <w:rFonts w:ascii="Arial" w:hAnsi="Arial" w:cs="Arial"/>
        </w:rPr>
        <w:t xml:space="preserve">5. </w:t>
      </w:r>
      <w:r w:rsidR="00FA2BF8" w:rsidRPr="00FA2BF8">
        <w:rPr>
          <w:rFonts w:ascii="Arial" w:hAnsi="Arial" w:cs="Arial"/>
          <w:lang/>
        </w:rPr>
        <w:t>MARS Group; MARS Group. Effect of graft choice on the outcome of revision anterior cruciate ligament reconstruction in the Multicenter ACL Revision Study (MARS) Cohort. Am J Sports Med. 2014 Oct;42(10):2301-10.</w:t>
      </w:r>
    </w:p>
    <w:p w14:paraId="0C90AFDE" w14:textId="237EF302" w:rsidR="005973B9" w:rsidRPr="002A5338" w:rsidRDefault="005973B9" w:rsidP="005973B9">
      <w:pPr>
        <w:pStyle w:val="BodyText"/>
        <w:spacing w:before="85" w:line="216" w:lineRule="exact"/>
        <w:ind w:left="383" w:right="138" w:hanging="284"/>
        <w:jc w:val="both"/>
        <w:rPr>
          <w:rFonts w:ascii="Arial" w:hAnsi="Arial" w:cs="Arial"/>
        </w:rPr>
      </w:pPr>
    </w:p>
    <w:p w14:paraId="25B77CD1" w14:textId="77777777" w:rsidR="00AE3E37" w:rsidRPr="002A5338" w:rsidRDefault="00AE3E37" w:rsidP="008756E6">
      <w:pPr>
        <w:tabs>
          <w:tab w:val="left" w:pos="384"/>
        </w:tabs>
        <w:ind w:right="117"/>
        <w:rPr>
          <w:rFonts w:ascii="Arial" w:hAnsi="Arial" w:cs="Arial"/>
        </w:rPr>
      </w:pPr>
    </w:p>
    <w:p w14:paraId="0B3C1500" w14:textId="5B119EB1" w:rsidR="00AE3E37" w:rsidRPr="002A5338" w:rsidRDefault="008756E6">
      <w:pPr>
        <w:spacing w:line="200" w:lineRule="exact"/>
        <w:jc w:val="both"/>
        <w:rPr>
          <w:rFonts w:ascii="Arial" w:hAnsi="Arial" w:cs="Arial"/>
        </w:rPr>
        <w:sectPr w:rsidR="00AE3E37" w:rsidRPr="002A5338">
          <w:type w:val="continuous"/>
          <w:pgSz w:w="11910" w:h="16840"/>
          <w:pgMar w:top="1740" w:right="600" w:bottom="840" w:left="620" w:header="720" w:footer="720" w:gutter="0"/>
          <w:cols w:num="2" w:space="720" w:equalWidth="0">
            <w:col w:w="5214" w:space="138"/>
            <w:col w:w="5338"/>
          </w:cols>
        </w:sectPr>
      </w:pPr>
      <w:r w:rsidRPr="002A5338">
        <w:rPr>
          <w:rFonts w:ascii="Arial" w:hAnsi="Arial" w:cs="Arial"/>
        </w:rPr>
        <w:t xml:space="preserve"> </w:t>
      </w:r>
    </w:p>
    <w:p w14:paraId="1AFE67E2" w14:textId="19CACC10" w:rsidR="00AE3E37" w:rsidRPr="002A5338" w:rsidRDefault="00AE3E37">
      <w:pPr>
        <w:pStyle w:val="BodyText"/>
        <w:rPr>
          <w:rFonts w:ascii="Arial" w:hAnsi="Arial" w:cs="Arial"/>
          <w:b/>
          <w:sz w:val="20"/>
        </w:rPr>
      </w:pPr>
    </w:p>
    <w:p w14:paraId="30A346B6" w14:textId="334D2F77" w:rsidR="00EF5692" w:rsidRPr="00D77467" w:rsidRDefault="00292ED9" w:rsidP="00D77467">
      <w:pPr>
        <w:pStyle w:val="BodyText"/>
        <w:spacing w:line="40" w:lineRule="exact"/>
        <w:ind w:left="2202"/>
        <w:rPr>
          <w:rFonts w:ascii="Arial" w:hAnsi="Arial" w:cs="Arial"/>
          <w:sz w:val="4"/>
        </w:rPr>
      </w:pPr>
      <w:r w:rsidRPr="002A5338">
        <w:rPr>
          <w:rFonts w:ascii="Arial" w:hAnsi="Arial" w:cs="Arial"/>
          <w:noProof/>
          <w:sz w:val="4"/>
          <w:lang w:val="en-IN" w:eastAsia="en-IN"/>
        </w:rPr>
        <mc:AlternateContent>
          <mc:Choice Requires="wpg">
            <w:drawing>
              <wp:inline distT="0" distB="0" distL="0" distR="0" wp14:anchorId="68861DBD" wp14:editId="7C2FC92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C82A39"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B0A835C" w14:textId="23BF3A5E" w:rsidR="00D77467" w:rsidRDefault="008756E6" w:rsidP="00D77467">
      <w:pPr>
        <w:spacing w:before="92"/>
        <w:ind w:right="4234"/>
        <w:rPr>
          <w:noProof/>
        </w:rPr>
      </w:pPr>
      <w:r w:rsidRPr="002A5338">
        <w:rPr>
          <w:rFonts w:ascii="Arial" w:hAnsi="Arial" w:cs="Arial"/>
          <w:noProof/>
        </w:rPr>
        <w:t xml:space="preserve">  </w:t>
      </w:r>
      <w:r w:rsidR="00D77467">
        <w:rPr>
          <w:noProof/>
        </w:rPr>
        <w:t xml:space="preserve"> </w:t>
      </w:r>
      <w:r w:rsidR="00D77467">
        <w:rPr>
          <w:noProof/>
        </w:rPr>
        <w:drawing>
          <wp:inline distT="0" distB="0" distL="0" distR="0" wp14:anchorId="2C6B3F8F" wp14:editId="297208C6">
            <wp:extent cx="695348" cy="869577"/>
            <wp:effectExtent l="0" t="0" r="3175" b="0"/>
            <wp:docPr id="1" name="Picture 1"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7431" cy="909699"/>
                    </a:xfrm>
                    <a:prstGeom prst="rect">
                      <a:avLst/>
                    </a:prstGeom>
                  </pic:spPr>
                </pic:pic>
              </a:graphicData>
            </a:graphic>
          </wp:inline>
        </w:drawing>
      </w:r>
      <w:r w:rsidR="00D77467">
        <w:rPr>
          <w:noProof/>
        </w:rPr>
        <w:t xml:space="preserve">        </w:t>
      </w:r>
    </w:p>
    <w:p w14:paraId="0D5E5D08" w14:textId="77777777" w:rsidR="00D77467" w:rsidRDefault="00D77467" w:rsidP="00D77467">
      <w:pPr>
        <w:spacing w:before="92"/>
        <w:ind w:right="4234"/>
        <w:rPr>
          <w:rFonts w:ascii="Arial"/>
        </w:rPr>
      </w:pPr>
      <w:r>
        <w:rPr>
          <w:noProof/>
        </w:rPr>
        <w:t xml:space="preserve">   </w:t>
      </w:r>
      <w:r>
        <w:rPr>
          <w:rFonts w:ascii="Arial"/>
          <w:color w:val="BF5A14"/>
        </w:rPr>
        <w:t>Biography</w:t>
      </w:r>
    </w:p>
    <w:p w14:paraId="7823B214" w14:textId="77777777" w:rsidR="00D77467" w:rsidRPr="00BD041D" w:rsidRDefault="00D77467" w:rsidP="00D77467">
      <w:pPr>
        <w:spacing w:before="41" w:line="154" w:lineRule="exact"/>
        <w:ind w:left="213" w:right="231"/>
        <w:jc w:val="both"/>
        <w:rPr>
          <w:rFonts w:ascii="Arial" w:hAnsi="Arial" w:cs="Arial"/>
          <w:sz w:val="14"/>
        </w:rPr>
      </w:pPr>
      <w:r>
        <w:rPr>
          <w:rFonts w:ascii="Arial" w:hAnsi="Arial" w:cs="Arial"/>
          <w:sz w:val="14"/>
        </w:rPr>
        <w:t xml:space="preserve">Dr Remy Rees-Goddard is a Surgical Trainee in the NHS, United Kingdom. He is an Affiliate member of the Royal College of Surgeons, with a focus on Trauma and </w:t>
      </w:r>
      <w:proofErr w:type="spellStart"/>
      <w:r>
        <w:rPr>
          <w:rFonts w:ascii="Arial" w:hAnsi="Arial" w:cs="Arial"/>
          <w:sz w:val="14"/>
        </w:rPr>
        <w:t>Orthopaedic</w:t>
      </w:r>
      <w:proofErr w:type="spellEnd"/>
      <w:r>
        <w:rPr>
          <w:rFonts w:ascii="Arial" w:hAnsi="Arial" w:cs="Arial"/>
          <w:sz w:val="14"/>
        </w:rPr>
        <w:t xml:space="preserve"> Surgery, Educational Teaching and Research. He completed his Undergraduate Medical Degree and Queen’s University Belfast and currently practices in the Region of Wessex, South-East England. He currently works both within his local Trust and the Deanery of Wessex in Surgical Education and Research. His current</w:t>
      </w:r>
      <w:r w:rsidRPr="00BD041D">
        <w:rPr>
          <w:rFonts w:ascii="Arial" w:hAnsi="Arial" w:cs="Arial"/>
          <w:sz w:val="14"/>
        </w:rPr>
        <w:t xml:space="preserve"> area of interest is anterior cruciate ligament</w:t>
      </w:r>
      <w:r>
        <w:rPr>
          <w:rFonts w:ascii="Arial" w:hAnsi="Arial" w:cs="Arial"/>
          <w:sz w:val="14"/>
        </w:rPr>
        <w:t xml:space="preserve"> (ACL)</w:t>
      </w:r>
      <w:r w:rsidRPr="00BD041D">
        <w:rPr>
          <w:rFonts w:ascii="Arial" w:hAnsi="Arial" w:cs="Arial"/>
          <w:sz w:val="14"/>
        </w:rPr>
        <w:t xml:space="preserve"> reconstruction where </w:t>
      </w:r>
      <w:r>
        <w:rPr>
          <w:rFonts w:ascii="Arial" w:hAnsi="Arial" w:cs="Arial"/>
          <w:sz w:val="14"/>
        </w:rPr>
        <w:t>he</w:t>
      </w:r>
      <w:r w:rsidRPr="00BD041D">
        <w:rPr>
          <w:rFonts w:ascii="Arial" w:hAnsi="Arial" w:cs="Arial"/>
          <w:sz w:val="14"/>
        </w:rPr>
        <w:t xml:space="preserve"> collaborates with a Swiss Orthopedic Centre in research.</w:t>
      </w:r>
    </w:p>
    <w:p w14:paraId="453B72B8" w14:textId="3CE7AB7A" w:rsidR="00AE3E37" w:rsidRPr="00D77467" w:rsidRDefault="00D77467" w:rsidP="00D77467">
      <w:pPr>
        <w:spacing w:before="62"/>
        <w:ind w:left="4217" w:right="4235"/>
        <w:jc w:val="center"/>
        <w:rPr>
          <w:rFonts w:ascii="Arial"/>
          <w:sz w:val="14"/>
        </w:rPr>
      </w:pPr>
      <w:r>
        <w:rPr>
          <w:rFonts w:ascii="Arial"/>
          <w:sz w:val="14"/>
        </w:rPr>
        <w:t xml:space="preserve">Email: </w:t>
      </w:r>
      <w:r>
        <w:rPr>
          <w:noProof/>
          <w:lang w:val="en-IN" w:eastAsia="en-IN"/>
        </w:rPr>
        <mc:AlternateContent>
          <mc:Choice Requires="wps">
            <w:drawing>
              <wp:anchor distT="0" distB="0" distL="0" distR="0" simplePos="0" relativeHeight="251659264" behindDoc="0" locked="0" layoutInCell="1" allowOverlap="1" wp14:anchorId="16C753C5" wp14:editId="77E57D1C">
                <wp:simplePos x="0" y="0"/>
                <wp:positionH relativeFrom="page">
                  <wp:posOffset>2058670</wp:posOffset>
                </wp:positionH>
                <wp:positionV relativeFrom="paragraph">
                  <wp:posOffset>168275</wp:posOffset>
                </wp:positionV>
                <wp:extent cx="3442335" cy="0"/>
                <wp:effectExtent l="10795" t="6985" r="13970" b="1206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C321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r>
        <w:rPr>
          <w:rFonts w:ascii="Arial"/>
          <w:sz w:val="14"/>
        </w:rPr>
        <w:t>remyrg@me.co</w:t>
      </w:r>
      <w:r w:rsidR="00292ED9" w:rsidRPr="002A5338">
        <w:rPr>
          <w:rFonts w:ascii="Arial" w:hAnsi="Arial" w:cs="Arial"/>
          <w:noProof/>
          <w:lang w:val="en-IN" w:eastAsia="en-IN"/>
        </w:rPr>
        <mc:AlternateContent>
          <mc:Choice Requires="wps">
            <w:drawing>
              <wp:anchor distT="0" distB="0" distL="0" distR="0" simplePos="0" relativeHeight="251657216" behindDoc="0" locked="0" layoutInCell="1" allowOverlap="1" wp14:anchorId="0181DC3B" wp14:editId="6DEA66D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92432"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r>
        <w:rPr>
          <w:rFonts w:ascii="Arial"/>
          <w:sz w:val="14"/>
        </w:rPr>
        <w:t>m</w:t>
      </w:r>
    </w:p>
    <w:p w14:paraId="37F1BCAE" w14:textId="77777777" w:rsidR="00AE3E37" w:rsidRPr="002A5338" w:rsidRDefault="00AE3E37">
      <w:pPr>
        <w:pStyle w:val="BodyText"/>
        <w:spacing w:before="7"/>
        <w:rPr>
          <w:rFonts w:ascii="Arial" w:hAnsi="Arial" w:cs="Arial"/>
          <w:sz w:val="29"/>
        </w:rPr>
      </w:pPr>
    </w:p>
    <w:p w14:paraId="6727A2D5" w14:textId="4E01C4CA" w:rsidR="000A52C0" w:rsidRPr="00D77467" w:rsidRDefault="00A9710C" w:rsidP="00D77467">
      <w:pPr>
        <w:spacing w:before="39"/>
        <w:ind w:left="100"/>
        <w:rPr>
          <w:rFonts w:ascii="Arial" w:hAnsi="Arial" w:cs="Arial"/>
          <w:b/>
          <w:sz w:val="20"/>
        </w:rPr>
        <w:sectPr w:rsidR="000A52C0" w:rsidRPr="00D77467">
          <w:type w:val="continuous"/>
          <w:pgSz w:w="11910" w:h="16840"/>
          <w:pgMar w:top="1740" w:right="600" w:bottom="840" w:left="620" w:header="720" w:footer="720" w:gutter="0"/>
          <w:cols w:space="720"/>
        </w:sectPr>
      </w:pPr>
      <w:r w:rsidRPr="002A5338">
        <w:rPr>
          <w:rFonts w:ascii="Arial" w:hAnsi="Arial" w:cs="Arial"/>
          <w:b/>
          <w:sz w:val="20"/>
        </w:rPr>
        <w:t>Notes/Comments:</w:t>
      </w:r>
    </w:p>
    <w:p w14:paraId="08F1EDB0" w14:textId="3E1A1B2F" w:rsidR="000A52C0" w:rsidRPr="002A5338" w:rsidRDefault="000A52C0">
      <w:pPr>
        <w:pStyle w:val="BodyText"/>
        <w:spacing w:before="3"/>
        <w:rPr>
          <w:rFonts w:ascii="Arial" w:hAnsi="Arial" w:cs="Arial"/>
          <w:sz w:val="26"/>
        </w:rPr>
      </w:pPr>
    </w:p>
    <w:sectPr w:rsidR="000A52C0" w:rsidRPr="002A533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B4FA3" w14:textId="77777777" w:rsidR="003536E6" w:rsidRDefault="003536E6">
      <w:r>
        <w:separator/>
      </w:r>
    </w:p>
  </w:endnote>
  <w:endnote w:type="continuationSeparator" w:id="0">
    <w:p w14:paraId="454F2DB3" w14:textId="77777777" w:rsidR="003536E6" w:rsidRDefault="0035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6455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89FE059" wp14:editId="086E937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C37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C04F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E05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15C37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C04F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51C33F8" wp14:editId="76026E9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A31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497E4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C33F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0DFA31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497E4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65A3561" wp14:editId="5DBEBAD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AA43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9B52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A356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479AA43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9B52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E7780" w14:textId="77777777" w:rsidR="003536E6" w:rsidRDefault="003536E6">
      <w:r>
        <w:separator/>
      </w:r>
    </w:p>
  </w:footnote>
  <w:footnote w:type="continuationSeparator" w:id="0">
    <w:p w14:paraId="1E011541" w14:textId="77777777" w:rsidR="003536E6" w:rsidRDefault="00353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8D4D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B56E566" wp14:editId="4FAB869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33D9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6E56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79133D9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2585250" wp14:editId="115A84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14DB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7EEF2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8525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32314DB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7EEF2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16493809">
    <w:abstractNumId w:val="0"/>
  </w:num>
  <w:num w:numId="2" w16cid:durableId="3293020">
    <w:abstractNumId w:val="1"/>
  </w:num>
  <w:num w:numId="3" w16cid:durableId="1685686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1D4E"/>
    <w:rsid w:val="000A52C0"/>
    <w:rsid w:val="000E2911"/>
    <w:rsid w:val="001263DF"/>
    <w:rsid w:val="001E763C"/>
    <w:rsid w:val="00292ED9"/>
    <w:rsid w:val="002A5338"/>
    <w:rsid w:val="002C0B69"/>
    <w:rsid w:val="00314AFB"/>
    <w:rsid w:val="003536E6"/>
    <w:rsid w:val="003B76D9"/>
    <w:rsid w:val="00404E5B"/>
    <w:rsid w:val="00414F7B"/>
    <w:rsid w:val="004355DC"/>
    <w:rsid w:val="004749B4"/>
    <w:rsid w:val="00494130"/>
    <w:rsid w:val="004F3523"/>
    <w:rsid w:val="00591711"/>
    <w:rsid w:val="005973B9"/>
    <w:rsid w:val="005B3A56"/>
    <w:rsid w:val="006060CE"/>
    <w:rsid w:val="0063497F"/>
    <w:rsid w:val="0078738A"/>
    <w:rsid w:val="007D1457"/>
    <w:rsid w:val="00873DF0"/>
    <w:rsid w:val="008756E6"/>
    <w:rsid w:val="008A7F98"/>
    <w:rsid w:val="00904014"/>
    <w:rsid w:val="009427D0"/>
    <w:rsid w:val="009B2D44"/>
    <w:rsid w:val="009D5DC9"/>
    <w:rsid w:val="00A07E82"/>
    <w:rsid w:val="00A9710C"/>
    <w:rsid w:val="00A97286"/>
    <w:rsid w:val="00AE3E37"/>
    <w:rsid w:val="00B21A57"/>
    <w:rsid w:val="00C33602"/>
    <w:rsid w:val="00CA58F4"/>
    <w:rsid w:val="00CB6ADE"/>
    <w:rsid w:val="00CD6F55"/>
    <w:rsid w:val="00D62425"/>
    <w:rsid w:val="00D77467"/>
    <w:rsid w:val="00DE3104"/>
    <w:rsid w:val="00EF5692"/>
    <w:rsid w:val="00F72EEA"/>
    <w:rsid w:val="00F8136A"/>
    <w:rsid w:val="00F84CAE"/>
    <w:rsid w:val="00FA2B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D9DE5"/>
  <w15:docId w15:val="{7941E31F-22BB-234F-99CE-E92B85A1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A5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55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8823873">
      <w:bodyDiv w:val="1"/>
      <w:marLeft w:val="0"/>
      <w:marRight w:val="0"/>
      <w:marTop w:val="0"/>
      <w:marBottom w:val="0"/>
      <w:divBdr>
        <w:top w:val="none" w:sz="0" w:space="0" w:color="auto"/>
        <w:left w:val="none" w:sz="0" w:space="0" w:color="auto"/>
        <w:bottom w:val="none" w:sz="0" w:space="0" w:color="auto"/>
        <w:right w:val="none" w:sz="0" w:space="0" w:color="auto"/>
      </w:divBdr>
    </w:div>
    <w:div w:id="762847816">
      <w:bodyDiv w:val="1"/>
      <w:marLeft w:val="0"/>
      <w:marRight w:val="0"/>
      <w:marTop w:val="0"/>
      <w:marBottom w:val="0"/>
      <w:divBdr>
        <w:top w:val="none" w:sz="0" w:space="0" w:color="auto"/>
        <w:left w:val="none" w:sz="0" w:space="0" w:color="auto"/>
        <w:bottom w:val="none" w:sz="0" w:space="0" w:color="auto"/>
        <w:right w:val="none" w:sz="0" w:space="0" w:color="auto"/>
      </w:divBdr>
    </w:div>
    <w:div w:id="939097106">
      <w:bodyDiv w:val="1"/>
      <w:marLeft w:val="0"/>
      <w:marRight w:val="0"/>
      <w:marTop w:val="0"/>
      <w:marBottom w:val="0"/>
      <w:divBdr>
        <w:top w:val="none" w:sz="0" w:space="0" w:color="auto"/>
        <w:left w:val="none" w:sz="0" w:space="0" w:color="auto"/>
        <w:bottom w:val="none" w:sz="0" w:space="0" w:color="auto"/>
        <w:right w:val="none" w:sz="0" w:space="0" w:color="auto"/>
      </w:divBdr>
    </w:div>
    <w:div w:id="949582946">
      <w:bodyDiv w:val="1"/>
      <w:marLeft w:val="0"/>
      <w:marRight w:val="0"/>
      <w:marTop w:val="0"/>
      <w:marBottom w:val="0"/>
      <w:divBdr>
        <w:top w:val="none" w:sz="0" w:space="0" w:color="auto"/>
        <w:left w:val="none" w:sz="0" w:space="0" w:color="auto"/>
        <w:bottom w:val="none" w:sz="0" w:space="0" w:color="auto"/>
        <w:right w:val="none" w:sz="0" w:space="0" w:color="auto"/>
      </w:divBdr>
    </w:div>
    <w:div w:id="1188565109">
      <w:bodyDiv w:val="1"/>
      <w:marLeft w:val="0"/>
      <w:marRight w:val="0"/>
      <w:marTop w:val="0"/>
      <w:marBottom w:val="0"/>
      <w:divBdr>
        <w:top w:val="none" w:sz="0" w:space="0" w:color="auto"/>
        <w:left w:val="none" w:sz="0" w:space="0" w:color="auto"/>
        <w:bottom w:val="none" w:sz="0" w:space="0" w:color="auto"/>
        <w:right w:val="none" w:sz="0" w:space="0" w:color="auto"/>
      </w:divBdr>
    </w:div>
    <w:div w:id="125417176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31600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remyrg@me.com</cp:lastModifiedBy>
  <cp:revision>2</cp:revision>
  <dcterms:created xsi:type="dcterms:W3CDTF">2022-10-06T12:08:00Z</dcterms:created>
  <dcterms:modified xsi:type="dcterms:W3CDTF">2022-10-06T12:08:00Z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