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5883E" w14:textId="77777777" w:rsidR="00C37CFE" w:rsidRDefault="007976CA" w:rsidP="007976CA">
      <w:pPr>
        <w:pStyle w:val="BodyText"/>
        <w:spacing w:before="73"/>
        <w:ind w:right="1334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  <w:t xml:space="preserve"> </w:t>
      </w:r>
    </w:p>
    <w:p w14:paraId="5C80F16C" w14:textId="2F16B5B4" w:rsidR="005824E3" w:rsidRDefault="005824E3" w:rsidP="007976CA">
      <w:pPr>
        <w:pStyle w:val="BodyText"/>
        <w:spacing w:before="73"/>
        <w:ind w:right="1334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</w:pPr>
      <w:r w:rsidRPr="005824E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  <w:t xml:space="preserve">Can autologous conditioned plasma (ACP) postpone major </w:t>
      </w:r>
    </w:p>
    <w:p w14:paraId="45E37D99" w14:textId="6269B984" w:rsidR="005824E3" w:rsidRDefault="005824E3" w:rsidP="007976CA">
      <w:pPr>
        <w:pStyle w:val="BodyText"/>
        <w:spacing w:before="73"/>
        <w:ind w:left="100" w:right="1334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</w:pPr>
      <w:r w:rsidRPr="005824E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  <w:t xml:space="preserve">surgery? </w:t>
      </w:r>
      <w:r w:rsidR="007976CA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  <w:t>3</w:t>
      </w:r>
      <w:r w:rsidRPr="005824E3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IN"/>
        </w:rPr>
        <w:t>-year results from a prospective cohort study.</w:t>
      </w:r>
    </w:p>
    <w:p w14:paraId="6EE58E8C" w14:textId="77777777" w:rsidR="00752735" w:rsidRDefault="00752735" w:rsidP="005824E3">
      <w:pPr>
        <w:pStyle w:val="BodyText"/>
        <w:spacing w:before="73" w:line="198" w:lineRule="exact"/>
        <w:ind w:left="100" w:right="484"/>
        <w:rPr>
          <w:rFonts w:ascii="Arial" w:hAnsi="Arial" w:cs="Arial"/>
        </w:rPr>
      </w:pPr>
    </w:p>
    <w:p w14:paraId="03CDF191" w14:textId="66ADB9B0" w:rsidR="00A63C1B" w:rsidRDefault="005824E3" w:rsidP="00A63C1B">
      <w:pPr>
        <w:pStyle w:val="BodyText"/>
        <w:spacing w:before="73" w:line="198" w:lineRule="exact"/>
        <w:ind w:left="100" w:right="484"/>
        <w:rPr>
          <w:rFonts w:ascii="Arial" w:hAnsi="Arial" w:cs="Arial"/>
        </w:rPr>
      </w:pPr>
      <w:r>
        <w:rPr>
          <w:rFonts w:ascii="Arial" w:hAnsi="Arial" w:cs="Arial"/>
        </w:rPr>
        <w:t>Dr Remy Rees-Goddard,</w:t>
      </w:r>
      <w:r w:rsidR="00A63C1B">
        <w:rPr>
          <w:rFonts w:ascii="Arial" w:hAnsi="Arial" w:cs="Arial"/>
        </w:rPr>
        <w:t xml:space="preserve"> Trauma and </w:t>
      </w:r>
      <w:proofErr w:type="spellStart"/>
      <w:r w:rsidR="00A63C1B">
        <w:rPr>
          <w:rFonts w:ascii="Arial" w:hAnsi="Arial" w:cs="Arial"/>
        </w:rPr>
        <w:t>Orthopaedic</w:t>
      </w:r>
      <w:proofErr w:type="spellEnd"/>
      <w:r w:rsidR="00A63C1B">
        <w:rPr>
          <w:rFonts w:ascii="Arial" w:hAnsi="Arial" w:cs="Arial"/>
        </w:rPr>
        <w:t xml:space="preserve"> Surgery, Isle of Wight Trust, PO30 5TG, United Kingdom</w:t>
      </w:r>
    </w:p>
    <w:p w14:paraId="3C692902" w14:textId="1F305AD1" w:rsidR="005824E3" w:rsidRDefault="005824E3" w:rsidP="00A63C1B">
      <w:pPr>
        <w:pStyle w:val="BodyText"/>
        <w:spacing w:before="73" w:line="198" w:lineRule="exact"/>
        <w:ind w:left="100" w:right="484"/>
        <w:rPr>
          <w:rFonts w:ascii="Arial" w:hAnsi="Arial" w:cs="Arial"/>
        </w:rPr>
      </w:pPr>
      <w:r>
        <w:rPr>
          <w:rFonts w:ascii="Arial" w:hAnsi="Arial" w:cs="Arial"/>
        </w:rPr>
        <w:t xml:space="preserve">Dr Mary </w:t>
      </w:r>
      <w:proofErr w:type="spellStart"/>
      <w:r>
        <w:rPr>
          <w:rFonts w:ascii="Arial" w:hAnsi="Arial" w:cs="Arial"/>
        </w:rPr>
        <w:t>Pissaridou</w:t>
      </w:r>
      <w:proofErr w:type="spellEnd"/>
      <w:r w:rsidRPr="002A5338">
        <w:rPr>
          <w:rFonts w:ascii="Arial" w:hAnsi="Arial" w:cs="Arial"/>
        </w:rPr>
        <w:t xml:space="preserve">, </w:t>
      </w:r>
      <w:r w:rsidRPr="002A5338">
        <w:rPr>
          <w:rFonts w:ascii="Arial" w:hAnsi="Arial" w:cs="Arial"/>
          <w:lang w:val="en-GB"/>
        </w:rPr>
        <w:t xml:space="preserve">Oxford School </w:t>
      </w:r>
      <w:proofErr w:type="gramStart"/>
      <w:r w:rsidRPr="002A5338">
        <w:rPr>
          <w:rFonts w:ascii="Arial" w:hAnsi="Arial" w:cs="Arial"/>
          <w:lang w:val="en-GB"/>
        </w:rPr>
        <w:t>Of</w:t>
      </w:r>
      <w:proofErr w:type="gramEnd"/>
      <w:r w:rsidRPr="002A5338">
        <w:rPr>
          <w:rFonts w:ascii="Arial" w:hAnsi="Arial" w:cs="Arial"/>
          <w:lang w:val="en-GB"/>
        </w:rPr>
        <w:t xml:space="preserve"> </w:t>
      </w:r>
      <w:r w:rsidR="00A63C1B" w:rsidRPr="002A5338">
        <w:rPr>
          <w:rFonts w:ascii="Arial" w:hAnsi="Arial" w:cs="Arial"/>
          <w:lang w:val="en-GB"/>
        </w:rPr>
        <w:t>Surgery, Oxford</w:t>
      </w:r>
      <w:r w:rsidRPr="002A5338">
        <w:rPr>
          <w:rFonts w:ascii="Arial" w:hAnsi="Arial" w:cs="Arial"/>
          <w:lang w:val="en-GB"/>
        </w:rPr>
        <w:t xml:space="preserve"> Business Park, Oxford, OX4 2GX, United Kingdom</w:t>
      </w:r>
    </w:p>
    <w:p w14:paraId="2956FEFB" w14:textId="7D903E22" w:rsidR="005824E3" w:rsidRPr="002A5338" w:rsidRDefault="005824E3" w:rsidP="005824E3">
      <w:pPr>
        <w:pStyle w:val="BodyText"/>
        <w:spacing w:before="73" w:line="198" w:lineRule="exact"/>
        <w:ind w:left="100" w:right="484"/>
        <w:rPr>
          <w:rFonts w:ascii="Arial" w:hAnsi="Arial" w:cs="Arial"/>
        </w:rPr>
      </w:pPr>
      <w:r w:rsidRPr="002A5338">
        <w:rPr>
          <w:rFonts w:ascii="Arial" w:hAnsi="Arial" w:cs="Arial"/>
        </w:rPr>
        <w:t xml:space="preserve">Dr Kim </w:t>
      </w:r>
      <w:proofErr w:type="spellStart"/>
      <w:r w:rsidRPr="002A5338">
        <w:rPr>
          <w:rFonts w:ascii="Arial" w:hAnsi="Arial" w:cs="Arial"/>
        </w:rPr>
        <w:t>Borsky</w:t>
      </w:r>
      <w:proofErr w:type="spellEnd"/>
      <w:r w:rsidRPr="002A5338">
        <w:rPr>
          <w:rFonts w:ascii="Arial" w:hAnsi="Arial" w:cs="Arial"/>
        </w:rPr>
        <w:t xml:space="preserve">, MRCS, </w:t>
      </w:r>
      <w:r>
        <w:rPr>
          <w:rFonts w:ascii="Arial" w:hAnsi="Arial" w:cs="Arial"/>
        </w:rPr>
        <w:t xml:space="preserve">MD, </w:t>
      </w:r>
      <w:r w:rsidRPr="002A5338">
        <w:rPr>
          <w:rFonts w:ascii="Arial" w:hAnsi="Arial" w:cs="Arial"/>
          <w:lang w:val="en-GB"/>
        </w:rPr>
        <w:t xml:space="preserve">Oxford School </w:t>
      </w:r>
      <w:proofErr w:type="gramStart"/>
      <w:r w:rsidRPr="002A5338">
        <w:rPr>
          <w:rFonts w:ascii="Arial" w:hAnsi="Arial" w:cs="Arial"/>
          <w:lang w:val="en-GB"/>
        </w:rPr>
        <w:t>Of</w:t>
      </w:r>
      <w:proofErr w:type="gramEnd"/>
      <w:r w:rsidRPr="002A5338">
        <w:rPr>
          <w:rFonts w:ascii="Arial" w:hAnsi="Arial" w:cs="Arial"/>
          <w:lang w:val="en-GB"/>
        </w:rPr>
        <w:t xml:space="preserve"> </w:t>
      </w:r>
      <w:r w:rsidR="00A63C1B" w:rsidRPr="002A5338">
        <w:rPr>
          <w:rFonts w:ascii="Arial" w:hAnsi="Arial" w:cs="Arial"/>
          <w:lang w:val="en-GB"/>
        </w:rPr>
        <w:t>Surgery, Oxford</w:t>
      </w:r>
      <w:r w:rsidRPr="002A5338">
        <w:rPr>
          <w:rFonts w:ascii="Arial" w:hAnsi="Arial" w:cs="Arial"/>
          <w:lang w:val="en-GB"/>
        </w:rPr>
        <w:t xml:space="preserve"> Business Park, Oxford, OX4 2GX, United Kingdom</w:t>
      </w:r>
    </w:p>
    <w:p w14:paraId="64C94957" w14:textId="40651444" w:rsidR="00AE3E37" w:rsidRPr="005824E3" w:rsidRDefault="005824E3" w:rsidP="005824E3">
      <w:pPr>
        <w:pStyle w:val="BodyText"/>
        <w:spacing w:before="73" w:line="198" w:lineRule="exact"/>
        <w:ind w:left="100" w:right="1618"/>
        <w:rPr>
          <w:rFonts w:ascii="Arial" w:hAnsi="Arial" w:cs="Arial"/>
        </w:rPr>
      </w:pPr>
      <w:r w:rsidRPr="002A5338">
        <w:rPr>
          <w:rFonts w:ascii="Arial" w:hAnsi="Arial" w:cs="Arial"/>
        </w:rPr>
        <w:t xml:space="preserve">Dr Michael </w:t>
      </w:r>
      <w:proofErr w:type="spellStart"/>
      <w:r w:rsidRPr="002A5338">
        <w:rPr>
          <w:rFonts w:ascii="Arial" w:hAnsi="Arial" w:cs="Arial"/>
        </w:rPr>
        <w:t>Borsky</w:t>
      </w:r>
      <w:proofErr w:type="spellEnd"/>
      <w:r w:rsidRPr="002A5338">
        <w:rPr>
          <w:rFonts w:ascii="Arial" w:hAnsi="Arial" w:cs="Arial"/>
        </w:rPr>
        <w:t xml:space="preserve">, MD, </w:t>
      </w:r>
      <w:r w:rsidRPr="002A5338">
        <w:rPr>
          <w:rFonts w:ascii="Arial" w:hAnsi="Arial" w:cs="Arial"/>
          <w:lang w:val="en-GB"/>
        </w:rPr>
        <w:t xml:space="preserve">Knee surgery division </w:t>
      </w:r>
      <w:proofErr w:type="spellStart"/>
      <w:r w:rsidRPr="002A5338">
        <w:rPr>
          <w:rFonts w:ascii="Arial" w:hAnsi="Arial" w:cs="Arial"/>
          <w:lang w:val="en-GB"/>
        </w:rPr>
        <w:t>etzelclinic</w:t>
      </w:r>
      <w:proofErr w:type="spellEnd"/>
      <w:r w:rsidRPr="002A5338">
        <w:rPr>
          <w:rFonts w:ascii="Arial" w:hAnsi="Arial" w:cs="Arial"/>
          <w:lang w:val="en-GB"/>
        </w:rPr>
        <w:t xml:space="preserve">, </w:t>
      </w:r>
      <w:proofErr w:type="spellStart"/>
      <w:r w:rsidRPr="002A5338">
        <w:rPr>
          <w:rFonts w:ascii="Arial" w:hAnsi="Arial" w:cs="Arial"/>
          <w:lang w:val="en-GB"/>
        </w:rPr>
        <w:t>Churerstr</w:t>
      </w:r>
      <w:proofErr w:type="spellEnd"/>
      <w:r w:rsidRPr="002A5338">
        <w:rPr>
          <w:rFonts w:ascii="Arial" w:hAnsi="Arial" w:cs="Arial"/>
          <w:lang w:val="en-GB"/>
        </w:rPr>
        <w:t xml:space="preserve">. 43, 8808 </w:t>
      </w:r>
      <w:proofErr w:type="spellStart"/>
      <w:r w:rsidRPr="002A5338">
        <w:rPr>
          <w:rFonts w:ascii="Arial" w:hAnsi="Arial" w:cs="Arial"/>
          <w:lang w:val="en-GB"/>
        </w:rPr>
        <w:t>Pfaeffikon</w:t>
      </w:r>
      <w:proofErr w:type="spellEnd"/>
      <w:r w:rsidRPr="002A5338">
        <w:rPr>
          <w:rFonts w:ascii="Arial" w:hAnsi="Arial" w:cs="Arial"/>
          <w:lang w:val="en-GB"/>
        </w:rPr>
        <w:t>, Switzerland</w:t>
      </w:r>
    </w:p>
    <w:p w14:paraId="190F8AD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44E13BB" w14:textId="77777777" w:rsidR="00AE3E37" w:rsidRDefault="00AE3E37">
      <w:pPr>
        <w:rPr>
          <w:rFonts w:ascii="Arial"/>
          <w:sz w:val="21"/>
        </w:rPr>
        <w:sectPr w:rsidR="00AE3E37" w:rsidSect="007976CA">
          <w:headerReference w:type="default" r:id="rId7"/>
          <w:footerReference w:type="default" r:id="rId8"/>
          <w:type w:val="continuous"/>
          <w:pgSz w:w="11910" w:h="16840"/>
          <w:pgMar w:top="1166" w:right="600" w:bottom="840" w:left="620" w:header="541" w:footer="642" w:gutter="0"/>
          <w:cols w:space="720"/>
        </w:sectPr>
      </w:pPr>
    </w:p>
    <w:p w14:paraId="42579432" w14:textId="5188740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2402D342" w14:textId="77777777" w:rsidR="005824E3" w:rsidRPr="005824E3" w:rsidRDefault="005824E3" w:rsidP="005824E3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4E3">
        <w:rPr>
          <w:rFonts w:ascii="Tw Cen MT" w:eastAsia="Tw Cen MT" w:hAnsi="Tw Cen MT" w:cs="Tw Cen MT"/>
          <w:sz w:val="18"/>
          <w:szCs w:val="18"/>
        </w:rPr>
        <w:t>Objective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Knee osteoarthritis is a major problem in the European population from a medical as well as from an economical point of view. Surgical treatment implicates a long absence from work. Alternative treatments such as autologous conditioned plasma (ACP) postponing major surgery to the age of retirement from work would be beneficial. </w:t>
      </w:r>
    </w:p>
    <w:p w14:paraId="1B6F4E6A" w14:textId="77777777" w:rsidR="005824E3" w:rsidRPr="005824E3" w:rsidRDefault="005824E3" w:rsidP="005824E3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4E3">
        <w:rPr>
          <w:rFonts w:ascii="Tw Cen MT" w:eastAsia="Tw Cen MT" w:hAnsi="Tw Cen MT" w:cs="Tw Cen MT"/>
          <w:sz w:val="18"/>
          <w:szCs w:val="18"/>
        </w:rPr>
        <w:t>Methods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This is a single </w:t>
      </w:r>
      <w:proofErr w:type="spellStart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>centre</w:t>
      </w:r>
      <w:proofErr w:type="spellEnd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prospective study. Patients with severe knee osteoarthritis qualifying for knee replacement but not yet ready for major surgery are treated by four intraarticular injections of ACP (double syringe system, Arthrex). </w:t>
      </w:r>
      <w:proofErr w:type="spellStart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>Lequesne</w:t>
      </w:r>
      <w:proofErr w:type="spellEnd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VAS score before and four weeks after treatment are evaluated. Patients having avoided knee replacement and not needing regular pain killers 2 years after treatment are considered a mid-term success. </w:t>
      </w:r>
    </w:p>
    <w:p w14:paraId="181FFE45" w14:textId="376DD720" w:rsidR="005824E3" w:rsidRPr="005824E3" w:rsidRDefault="005824E3" w:rsidP="005824E3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4E3">
        <w:rPr>
          <w:rFonts w:ascii="Tw Cen MT" w:eastAsia="Tw Cen MT" w:hAnsi="Tw Cen MT" w:cs="Tw Cen MT"/>
          <w:sz w:val="18"/>
          <w:szCs w:val="18"/>
        </w:rPr>
        <w:t>Results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So far </w:t>
      </w:r>
      <w:r w:rsidR="00936FD4">
        <w:rPr>
          <w:rFonts w:ascii="Tw Cen MT" w:eastAsia="Tw Cen MT" w:hAnsi="Tw Cen MT" w:cs="Tw Cen MT"/>
          <w:b w:val="0"/>
          <w:bCs w:val="0"/>
          <w:sz w:val="18"/>
          <w:szCs w:val="18"/>
        </w:rPr>
        <w:t>245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aged 64.2+/-10.6 years were treated, with </w:t>
      </w:r>
      <w:r w:rsidR="00936FD4">
        <w:rPr>
          <w:rFonts w:ascii="Tw Cen MT" w:eastAsia="Tw Cen MT" w:hAnsi="Tw Cen MT" w:cs="Tw Cen MT"/>
          <w:b w:val="0"/>
          <w:bCs w:val="0"/>
          <w:sz w:val="18"/>
          <w:szCs w:val="18"/>
        </w:rPr>
        <w:t>182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already having 2-year follow up available (no loss to follow up). </w:t>
      </w:r>
      <w:proofErr w:type="spellStart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>Lequesne</w:t>
      </w:r>
      <w:proofErr w:type="spellEnd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score was 11.8+/-3.9 before and 3.9 +/-2.7 (p&lt;0.001) after treatment with </w:t>
      </w:r>
      <w:r w:rsidR="00936FD4">
        <w:rPr>
          <w:rFonts w:ascii="Tw Cen MT" w:eastAsia="Tw Cen MT" w:hAnsi="Tw Cen MT" w:cs="Tw Cen MT"/>
          <w:b w:val="0"/>
          <w:bCs w:val="0"/>
          <w:sz w:val="18"/>
          <w:szCs w:val="18"/>
        </w:rPr>
        <w:t>201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(82.4%) patients classified as extremely severe or severe before treatment and </w:t>
      </w:r>
      <w:r w:rsidR="00936FD4">
        <w:rPr>
          <w:rFonts w:ascii="Tw Cen MT" w:eastAsia="Tw Cen MT" w:hAnsi="Tw Cen MT" w:cs="Tw Cen MT"/>
          <w:b w:val="0"/>
          <w:bCs w:val="0"/>
          <w:sz w:val="18"/>
          <w:szCs w:val="18"/>
        </w:rPr>
        <w:t>220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(90.</w:t>
      </w:r>
      <w:r w:rsidR="00936FD4">
        <w:rPr>
          <w:rFonts w:ascii="Tw Cen MT" w:eastAsia="Tw Cen MT" w:hAnsi="Tw Cen MT" w:cs="Tw Cen MT"/>
          <w:b w:val="0"/>
          <w:bCs w:val="0"/>
          <w:sz w:val="18"/>
          <w:szCs w:val="18"/>
        </w:rPr>
        <w:t>0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%) classified as mild or moderate (p&lt;0.001) after. VAS score dropped from 6.6+/-1.8 before to 2.2 +/-1.5 after treatment (p&lt;0.001). Two years after treatment </w:t>
      </w:r>
      <w:r w:rsidR="00F10199">
        <w:rPr>
          <w:rFonts w:ascii="Tw Cen MT" w:eastAsia="Tw Cen MT" w:hAnsi="Tw Cen MT" w:cs="Tw Cen MT"/>
          <w:b w:val="0"/>
          <w:bCs w:val="0"/>
          <w:sz w:val="18"/>
          <w:szCs w:val="18"/>
        </w:rPr>
        <w:t>167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(68%) are classified as mid-term success.</w:t>
      </w:r>
    </w:p>
    <w:p w14:paraId="755E492C" w14:textId="6038BDED" w:rsidR="005824E3" w:rsidRPr="005824E3" w:rsidRDefault="005824E3" w:rsidP="005824E3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4E3">
        <w:rPr>
          <w:rFonts w:ascii="Tw Cen MT" w:eastAsia="Tw Cen MT" w:hAnsi="Tw Cen MT" w:cs="Tw Cen MT"/>
          <w:sz w:val="18"/>
          <w:szCs w:val="18"/>
        </w:rPr>
        <w:t>Conclusion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Intraarticular ACP therapy shows excellent </w:t>
      </w:r>
      <w:r w:rsidR="00620530"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>short-term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results with significant reduction in </w:t>
      </w:r>
      <w:proofErr w:type="spellStart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>Lequesne</w:t>
      </w:r>
      <w:proofErr w:type="spellEnd"/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score and class and VAS pain score. Furthermore, </w:t>
      </w:r>
      <w:r w:rsidR="005D71BC">
        <w:rPr>
          <w:rFonts w:ascii="Tw Cen MT" w:eastAsia="Tw Cen MT" w:hAnsi="Tw Cen MT" w:cs="Tw Cen MT"/>
          <w:b w:val="0"/>
          <w:bCs w:val="0"/>
          <w:sz w:val="18"/>
          <w:szCs w:val="18"/>
        </w:rPr>
        <w:t>most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</w:t>
      </w:r>
      <w:r w:rsidR="005D71BC">
        <w:rPr>
          <w:rFonts w:ascii="Tw Cen MT" w:eastAsia="Tw Cen MT" w:hAnsi="Tw Cen MT" w:cs="Tw Cen MT"/>
          <w:b w:val="0"/>
          <w:bCs w:val="0"/>
          <w:sz w:val="18"/>
          <w:szCs w:val="18"/>
        </w:rPr>
        <w:t>do</w:t>
      </w:r>
      <w:r w:rsidRPr="005824E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not require major surgery for another two years, thus often postponing the time of surgery to the age of retirement</w:t>
      </w:r>
    </w:p>
    <w:p w14:paraId="14DC5E88" w14:textId="5C16609E" w:rsidR="005824E3" w:rsidRDefault="005824E3" w:rsidP="005824E3">
      <w:pPr>
        <w:pStyle w:val="Heading3"/>
        <w:spacing w:before="74"/>
        <w:rPr>
          <w:color w:val="BF5A14"/>
        </w:rPr>
      </w:pPr>
    </w:p>
    <w:p w14:paraId="6C53AEC2" w14:textId="32C81E8A" w:rsidR="005824E3" w:rsidRDefault="005824E3" w:rsidP="005824E3">
      <w:pPr>
        <w:pStyle w:val="Heading3"/>
        <w:spacing w:before="74"/>
        <w:ind w:left="0"/>
        <w:rPr>
          <w:b w:val="0"/>
        </w:rPr>
      </w:pPr>
    </w:p>
    <w:p w14:paraId="424863C8" w14:textId="77777777" w:rsidR="00752735" w:rsidRDefault="00752735" w:rsidP="005824E3">
      <w:pPr>
        <w:pStyle w:val="Heading3"/>
        <w:spacing w:before="74"/>
        <w:ind w:left="0"/>
        <w:rPr>
          <w:b w:val="0"/>
        </w:rPr>
      </w:pPr>
    </w:p>
    <w:p w14:paraId="6C9F6246" w14:textId="63B4028B" w:rsidR="005973B9" w:rsidRPr="005824E3" w:rsidRDefault="00A9710C" w:rsidP="005824E3">
      <w:pPr>
        <w:pStyle w:val="Heading3"/>
        <w:spacing w:before="74"/>
        <w:ind w:left="0"/>
      </w:pPr>
      <w:r>
        <w:rPr>
          <w:b w:val="0"/>
        </w:rPr>
        <w:br w:type="column"/>
      </w:r>
      <w:r w:rsidR="005973B9">
        <w:rPr>
          <w:color w:val="BF5A14"/>
        </w:rPr>
        <w:t>Recent Publications</w:t>
      </w:r>
    </w:p>
    <w:p w14:paraId="29B39B48" w14:textId="77777777" w:rsidR="005824E3" w:rsidRPr="005824E3" w:rsidRDefault="005824E3" w:rsidP="005824E3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 w:val="16"/>
          <w:szCs w:val="16"/>
        </w:rPr>
      </w:pPr>
      <w:r w:rsidRPr="005824E3">
        <w:rPr>
          <w:rFonts w:ascii="Calibri" w:eastAsia="Calibri" w:hAnsi="Calibri" w:cs="Calibri"/>
          <w:sz w:val="16"/>
          <w:szCs w:val="16"/>
        </w:rPr>
        <w:t>1.</w:t>
      </w:r>
      <w:r w:rsidRPr="005824E3">
        <w:rPr>
          <w:rFonts w:ascii="Calibri" w:eastAsia="Calibri" w:hAnsi="Calibri" w:cs="Calibri"/>
          <w:sz w:val="16"/>
          <w:szCs w:val="16"/>
        </w:rPr>
        <w:tab/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Fotouhi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Maleki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Dolati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S,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Aghebati-Maleki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Aghebati-Maleki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L. Platelet rich plasma, stromal vascular fraction and autologous conditioned serum in treatment of knee osteoarthritis. Biomed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Pharmacother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. 2018 </w:t>
      </w:r>
      <w:proofErr w:type="gramStart"/>
      <w:r w:rsidRPr="005824E3">
        <w:rPr>
          <w:rFonts w:ascii="Calibri" w:eastAsia="Calibri" w:hAnsi="Calibri" w:cs="Calibri"/>
          <w:sz w:val="16"/>
          <w:szCs w:val="16"/>
        </w:rPr>
        <w:t>Aug;104:652</w:t>
      </w:r>
      <w:proofErr w:type="gramEnd"/>
      <w:r w:rsidRPr="005824E3">
        <w:rPr>
          <w:rFonts w:ascii="Calibri" w:eastAsia="Calibri" w:hAnsi="Calibri" w:cs="Calibri"/>
          <w:sz w:val="16"/>
          <w:szCs w:val="16"/>
        </w:rPr>
        <w:t>-660.</w:t>
      </w:r>
    </w:p>
    <w:p w14:paraId="6A58E5F5" w14:textId="77777777" w:rsidR="005824E3" w:rsidRPr="005824E3" w:rsidRDefault="005824E3" w:rsidP="005824E3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 w:val="16"/>
          <w:szCs w:val="16"/>
        </w:rPr>
      </w:pPr>
      <w:r w:rsidRPr="005824E3">
        <w:rPr>
          <w:rFonts w:ascii="Calibri" w:eastAsia="Calibri" w:hAnsi="Calibri" w:cs="Calibri"/>
          <w:sz w:val="16"/>
          <w:szCs w:val="16"/>
        </w:rPr>
        <w:t>2.</w:t>
      </w:r>
      <w:r w:rsidRPr="005824E3">
        <w:rPr>
          <w:rFonts w:ascii="Calibri" w:eastAsia="Calibri" w:hAnsi="Calibri" w:cs="Calibri"/>
          <w:sz w:val="16"/>
          <w:szCs w:val="16"/>
        </w:rPr>
        <w:tab/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Shirokova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L,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Noskov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S,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Gorokhova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V, Reinecke J,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Shirokova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K. Intra-Articular Injections of a Whole Blood Clot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Secretome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>, Autologous Conditioned Serum, Have Superior Clinical and Biochemical Efficacy Over Platelet-Rich Plasma and Induce Rejuvenation-Associated Changes of Joint Metabolism: A Prospective, Controlled Open-Label Clinical Study in Chronic Knee Osteoarthritis. Rejuvenation Res. 2020 Oct;23(5):401-410.</w:t>
      </w:r>
    </w:p>
    <w:p w14:paraId="6F7AC8CF" w14:textId="77777777" w:rsidR="005824E3" w:rsidRPr="005824E3" w:rsidRDefault="005824E3" w:rsidP="005824E3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 w:val="16"/>
          <w:szCs w:val="16"/>
        </w:rPr>
      </w:pPr>
      <w:r w:rsidRPr="005824E3">
        <w:rPr>
          <w:rFonts w:ascii="Calibri" w:eastAsia="Calibri" w:hAnsi="Calibri" w:cs="Calibri"/>
          <w:sz w:val="16"/>
          <w:szCs w:val="16"/>
        </w:rPr>
        <w:t>3.</w:t>
      </w:r>
      <w:r w:rsidRPr="005824E3">
        <w:rPr>
          <w:rFonts w:ascii="Calibri" w:eastAsia="Calibri" w:hAnsi="Calibri" w:cs="Calibri"/>
          <w:sz w:val="16"/>
          <w:szCs w:val="16"/>
        </w:rPr>
        <w:tab/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Pishgahi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Abolhasan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R,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Shakouri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SK,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Soltani-Zangbar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MS,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Dareshiri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S,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Ranjbar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Kiyakalayeh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S,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Khoeilar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Zamani M,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Motavalli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Khiavi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F,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Pourabbas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Kheiraddin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B,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Mehdizadeh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Yousefi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M. Effect of Dextrose Prolotherapy, Platelet Rich Plasma and Autologous Conditioned Serum on Knee Osteoarthritis: A Randomized Clinical Trial. Iran J Allergy Asthma Immunol. 2020 Jun 23;19(3):243-252.</w:t>
      </w:r>
    </w:p>
    <w:p w14:paraId="5476A11D" w14:textId="77777777" w:rsidR="005824E3" w:rsidRPr="005824E3" w:rsidRDefault="005824E3" w:rsidP="005824E3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 w:val="16"/>
          <w:szCs w:val="16"/>
        </w:rPr>
      </w:pPr>
      <w:r w:rsidRPr="005824E3">
        <w:rPr>
          <w:rFonts w:ascii="Calibri" w:eastAsia="Calibri" w:hAnsi="Calibri" w:cs="Calibri"/>
          <w:sz w:val="16"/>
          <w:szCs w:val="16"/>
        </w:rPr>
        <w:t>4.</w:t>
      </w:r>
      <w:r w:rsidRPr="005824E3">
        <w:rPr>
          <w:rFonts w:ascii="Calibri" w:eastAsia="Calibri" w:hAnsi="Calibri" w:cs="Calibri"/>
          <w:sz w:val="16"/>
          <w:szCs w:val="16"/>
        </w:rPr>
        <w:tab/>
        <w:t xml:space="preserve">Leone R, de Rosa 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Iudicone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P,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Fioravanti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D, Capua G, Rossetti F,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Isgro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' MA,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Pierelli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L. Pain control and functional improvement in patients treated by autologous conditioned serum after failure of platelet rich plasma treatments in knee osteoarthritis. </w:t>
      </w:r>
      <w:proofErr w:type="spellStart"/>
      <w:r w:rsidRPr="005824E3">
        <w:rPr>
          <w:rFonts w:ascii="Calibri" w:eastAsia="Calibri" w:hAnsi="Calibri" w:cs="Calibri"/>
          <w:sz w:val="16"/>
          <w:szCs w:val="16"/>
        </w:rPr>
        <w:t>Transfus</w:t>
      </w:r>
      <w:proofErr w:type="spellEnd"/>
      <w:r w:rsidRPr="005824E3">
        <w:rPr>
          <w:rFonts w:ascii="Calibri" w:eastAsia="Calibri" w:hAnsi="Calibri" w:cs="Calibri"/>
          <w:sz w:val="16"/>
          <w:szCs w:val="16"/>
        </w:rPr>
        <w:t xml:space="preserve"> Med. 2021 Jun 29.</w:t>
      </w:r>
    </w:p>
    <w:p w14:paraId="29F959DE" w14:textId="02C7C78D" w:rsidR="00AE3E37" w:rsidRPr="005824E3" w:rsidRDefault="005824E3" w:rsidP="005824E3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  <w:sz w:val="16"/>
          <w:szCs w:val="16"/>
        </w:rPr>
      </w:pPr>
      <w:r w:rsidRPr="005824E3">
        <w:rPr>
          <w:rFonts w:ascii="Calibri" w:eastAsia="Calibri" w:hAnsi="Calibri" w:cs="Calibri"/>
          <w:sz w:val="16"/>
          <w:szCs w:val="16"/>
        </w:rPr>
        <w:t>5. Smith PA. Intra-articular Autologous Conditioned Plasma Injections Provide Safe and Efficacious Treatment for Knee Osteoarthritis: An FDA-Sanctioned, Randomized, Double-blind, Placebo-controlled Clinical Trial. Am J Sports Med. 2016 Apr;44(4):884-91</w:t>
      </w:r>
      <w:r w:rsidR="005973B9" w:rsidRPr="005824E3">
        <w:rPr>
          <w:rFonts w:ascii="Calibri" w:hAnsi="Calibri"/>
          <w:sz w:val="16"/>
          <w:szCs w:val="16"/>
        </w:rPr>
        <w:t>.</w:t>
      </w:r>
    </w:p>
    <w:p w14:paraId="5DF95E8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2AB784B" w14:textId="4FD5DC25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</w:t>
      </w:r>
    </w:p>
    <w:p w14:paraId="4732B1A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432A204" wp14:editId="357E590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8650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6DA7DF9A" w14:textId="64618E93" w:rsidR="00752735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  <w:r w:rsidR="007976CA">
        <w:rPr>
          <w:noProof/>
        </w:rPr>
        <w:t xml:space="preserve"> </w:t>
      </w:r>
      <w:r>
        <w:rPr>
          <w:noProof/>
        </w:rPr>
        <w:t xml:space="preserve"> </w:t>
      </w:r>
      <w:r w:rsidR="00752735">
        <w:rPr>
          <w:noProof/>
        </w:rPr>
        <w:drawing>
          <wp:inline distT="0" distB="0" distL="0" distR="0" wp14:anchorId="0DA77E37" wp14:editId="6DA1AB2A">
            <wp:extent cx="695348" cy="869577"/>
            <wp:effectExtent l="0" t="0" r="3175" b="0"/>
            <wp:docPr id="1" name="Picture 1" descr="A person in a suit and ti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suit and ti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431" cy="90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14:paraId="7ED56C43" w14:textId="2AEBE6F6" w:rsidR="00AE3E37" w:rsidRDefault="00752735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</w:p>
    <w:p w14:paraId="6A00A2E2" w14:textId="634FD084" w:rsidR="007E4435" w:rsidRPr="00BD041D" w:rsidRDefault="007E4435" w:rsidP="007E4435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Dr Remy Rees-Goddard is a Surgical Trainee in the NHS, United Kingdom. He is an Affiliate </w:t>
      </w:r>
      <w:r w:rsidR="00A64E6E">
        <w:rPr>
          <w:rFonts w:ascii="Arial" w:hAnsi="Arial" w:cs="Arial"/>
          <w:sz w:val="14"/>
        </w:rPr>
        <w:t>M</w:t>
      </w:r>
      <w:r>
        <w:rPr>
          <w:rFonts w:ascii="Arial" w:hAnsi="Arial" w:cs="Arial"/>
          <w:sz w:val="14"/>
        </w:rPr>
        <w:t xml:space="preserve">ember of the Royal College of Surgeons, with a focus on Trauma and </w:t>
      </w:r>
      <w:proofErr w:type="spellStart"/>
      <w:r>
        <w:rPr>
          <w:rFonts w:ascii="Arial" w:hAnsi="Arial" w:cs="Arial"/>
          <w:sz w:val="14"/>
        </w:rPr>
        <w:t>Orthopaedic</w:t>
      </w:r>
      <w:proofErr w:type="spellEnd"/>
      <w:r>
        <w:rPr>
          <w:rFonts w:ascii="Arial" w:hAnsi="Arial" w:cs="Arial"/>
          <w:sz w:val="14"/>
        </w:rPr>
        <w:t xml:space="preserve"> Surgery, Educational Teaching and Research. He completed his Undergraduate Medical Degree and Queen’s University Belfast and currently practices in the Region of Wessex, South-East England. He currently works both within his local Trust and the Deanery of Wessex in Surgical Education and Research. His current</w:t>
      </w:r>
      <w:r w:rsidRPr="00BD041D">
        <w:rPr>
          <w:rFonts w:ascii="Arial" w:hAnsi="Arial" w:cs="Arial"/>
          <w:sz w:val="14"/>
        </w:rPr>
        <w:t xml:space="preserve"> area of interest is anterior cruciate ligament</w:t>
      </w:r>
      <w:r>
        <w:rPr>
          <w:rFonts w:ascii="Arial" w:hAnsi="Arial" w:cs="Arial"/>
          <w:sz w:val="14"/>
        </w:rPr>
        <w:t xml:space="preserve"> (ACL)</w:t>
      </w:r>
      <w:r w:rsidRPr="00BD041D">
        <w:rPr>
          <w:rFonts w:ascii="Arial" w:hAnsi="Arial" w:cs="Arial"/>
          <w:sz w:val="14"/>
        </w:rPr>
        <w:t xml:space="preserve"> reconstruction where </w:t>
      </w:r>
      <w:r>
        <w:rPr>
          <w:rFonts w:ascii="Arial" w:hAnsi="Arial" w:cs="Arial"/>
          <w:sz w:val="14"/>
        </w:rPr>
        <w:t>he</w:t>
      </w:r>
      <w:r w:rsidRPr="00BD041D">
        <w:rPr>
          <w:rFonts w:ascii="Arial" w:hAnsi="Arial" w:cs="Arial"/>
          <w:sz w:val="14"/>
        </w:rPr>
        <w:t xml:space="preserve"> collaborates with a Swiss Orthopedic Centre in research.</w:t>
      </w:r>
    </w:p>
    <w:p w14:paraId="64D622F7" w14:textId="52976D94" w:rsidR="00AE3E37" w:rsidRPr="005824E3" w:rsidRDefault="00A9710C" w:rsidP="005824E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A585E6" wp14:editId="050EAAD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3569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  <w:r w:rsidR="007E4435">
        <w:rPr>
          <w:rFonts w:ascii="Arial"/>
          <w:sz w:val="14"/>
        </w:rPr>
        <w:t>remyrg@me.com</w:t>
      </w:r>
    </w:p>
    <w:p w14:paraId="048ACABE" w14:textId="33608CAA" w:rsidR="00AE3E37" w:rsidRPr="005824E3" w:rsidRDefault="00A9710C" w:rsidP="005824E3">
      <w:pPr>
        <w:spacing w:before="39"/>
        <w:ind w:left="100"/>
        <w:rPr>
          <w:rFonts w:ascii="Minion Pro"/>
          <w:b/>
          <w:sz w:val="20"/>
        </w:rPr>
        <w:sectPr w:rsidR="00AE3E37" w:rsidRPr="005824E3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</w:t>
      </w:r>
      <w:r w:rsidR="005824E3">
        <w:rPr>
          <w:rFonts w:ascii="Minion Pro"/>
          <w:b/>
          <w:sz w:val="20"/>
        </w:rPr>
        <w:t>s</w:t>
      </w:r>
    </w:p>
    <w:p w14:paraId="5B907BFE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F614" w14:textId="77777777" w:rsidR="009275C9" w:rsidRDefault="009275C9">
      <w:r>
        <w:separator/>
      </w:r>
    </w:p>
  </w:endnote>
  <w:endnote w:type="continuationSeparator" w:id="0">
    <w:p w14:paraId="3DA30D7D" w14:textId="77777777" w:rsidR="009275C9" w:rsidRDefault="0092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4CB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EBBF287" wp14:editId="5B53DD7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F1E9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054C4E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BBF2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024F1E9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054C4E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B63EF74" wp14:editId="03E60B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3906F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0CC51D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63EF7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623906F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0CC51D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B440B95" wp14:editId="6C7D1CA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0058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C91DEF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440B9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3870058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C91DEF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2EC9E" w14:textId="77777777" w:rsidR="009275C9" w:rsidRDefault="009275C9">
      <w:r>
        <w:separator/>
      </w:r>
    </w:p>
  </w:footnote>
  <w:footnote w:type="continuationSeparator" w:id="0">
    <w:p w14:paraId="29461D04" w14:textId="77777777" w:rsidR="009275C9" w:rsidRDefault="00927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21C9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C5D23C3" wp14:editId="7C31E9B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C053F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D23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16C053F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1E13289" wp14:editId="575C65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2C903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5A666E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E1328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212C903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5A666E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727875242">
    <w:abstractNumId w:val="0"/>
  </w:num>
  <w:num w:numId="2" w16cid:durableId="1822427311">
    <w:abstractNumId w:val="1"/>
  </w:num>
  <w:num w:numId="3" w16cid:durableId="47725954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A406C"/>
    <w:rsid w:val="000E2911"/>
    <w:rsid w:val="001263DF"/>
    <w:rsid w:val="001E763C"/>
    <w:rsid w:val="0021345A"/>
    <w:rsid w:val="00292ED9"/>
    <w:rsid w:val="00314AFB"/>
    <w:rsid w:val="00320B56"/>
    <w:rsid w:val="003B76D9"/>
    <w:rsid w:val="00404E5B"/>
    <w:rsid w:val="00414F7B"/>
    <w:rsid w:val="004355DC"/>
    <w:rsid w:val="004749B4"/>
    <w:rsid w:val="00494130"/>
    <w:rsid w:val="004F3523"/>
    <w:rsid w:val="005824E3"/>
    <w:rsid w:val="005973B9"/>
    <w:rsid w:val="005B3A56"/>
    <w:rsid w:val="005D71BC"/>
    <w:rsid w:val="006060CE"/>
    <w:rsid w:val="00620530"/>
    <w:rsid w:val="0063497F"/>
    <w:rsid w:val="00752735"/>
    <w:rsid w:val="0078738A"/>
    <w:rsid w:val="007976CA"/>
    <w:rsid w:val="007E4435"/>
    <w:rsid w:val="00873DF0"/>
    <w:rsid w:val="008756E6"/>
    <w:rsid w:val="009275C9"/>
    <w:rsid w:val="00936FD4"/>
    <w:rsid w:val="009B2D44"/>
    <w:rsid w:val="00A07E82"/>
    <w:rsid w:val="00A63C1B"/>
    <w:rsid w:val="00A64E6E"/>
    <w:rsid w:val="00A9710C"/>
    <w:rsid w:val="00AE3E37"/>
    <w:rsid w:val="00B21A57"/>
    <w:rsid w:val="00B277AB"/>
    <w:rsid w:val="00C33602"/>
    <w:rsid w:val="00C37CFE"/>
    <w:rsid w:val="00CD6F55"/>
    <w:rsid w:val="00D067F8"/>
    <w:rsid w:val="00D62425"/>
    <w:rsid w:val="00DE3104"/>
    <w:rsid w:val="00F10199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A58BF"/>
  <w15:docId w15:val="{7C671C12-2BD8-754B-8D20-E73723C1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remyrg@me.com</cp:lastModifiedBy>
  <cp:revision>7</cp:revision>
  <dcterms:created xsi:type="dcterms:W3CDTF">2022-10-06T12:08:00Z</dcterms:created>
  <dcterms:modified xsi:type="dcterms:W3CDTF">2022-10-06T12:17:00Z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