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B621FE" w14:textId="77777777" w:rsidR="00D46AC3" w:rsidRPr="00D46AC3" w:rsidRDefault="00D46AC3" w:rsidP="0085758C">
      <w:pPr>
        <w:pStyle w:val="Titolo1"/>
        <w:spacing w:before="170"/>
        <w:ind w:left="0"/>
        <w:rPr>
          <w:color w:val="337AB7"/>
          <w:lang w:val="en-GB"/>
        </w:rPr>
      </w:pPr>
      <w:r w:rsidRPr="00D46AC3">
        <w:rPr>
          <w:color w:val="337AB7"/>
          <w:lang w:val="en-GB"/>
        </w:rPr>
        <w:t>Bioaccumulation of Environmental Heavy Metals Related to Deregulation of Detoxifying Enzymes Expression in Osteoporosis</w:t>
      </w:r>
    </w:p>
    <w:p w14:paraId="697DED2C" w14:textId="77777777" w:rsidR="0085758C" w:rsidRDefault="0085758C" w:rsidP="00D46AC3">
      <w:pPr>
        <w:tabs>
          <w:tab w:val="left" w:pos="2880"/>
        </w:tabs>
        <w:spacing w:line="360" w:lineRule="auto"/>
        <w:jc w:val="both"/>
        <w:rPr>
          <w:rFonts w:eastAsiaTheme="minorEastAsia"/>
          <w:sz w:val="24"/>
          <w:szCs w:val="24"/>
          <w:lang w:val="it-IT"/>
        </w:rPr>
      </w:pPr>
    </w:p>
    <w:p w14:paraId="55E173B6" w14:textId="3F242A77" w:rsidR="00D46AC3" w:rsidRPr="00D46AC3" w:rsidRDefault="00D46AC3" w:rsidP="00D46AC3">
      <w:pPr>
        <w:tabs>
          <w:tab w:val="left" w:pos="2880"/>
        </w:tabs>
        <w:spacing w:line="360" w:lineRule="auto"/>
        <w:jc w:val="both"/>
        <w:rPr>
          <w:rFonts w:eastAsiaTheme="minorEastAsia"/>
          <w:sz w:val="24"/>
          <w:szCs w:val="24"/>
          <w:lang w:val="it-IT"/>
        </w:rPr>
      </w:pPr>
      <w:r w:rsidRPr="00D46AC3">
        <w:rPr>
          <w:rFonts w:eastAsiaTheme="minorEastAsia"/>
          <w:sz w:val="24"/>
          <w:szCs w:val="24"/>
          <w:lang w:val="it-IT"/>
        </w:rPr>
        <w:t xml:space="preserve">Visconti VV </w:t>
      </w:r>
      <w:r w:rsidRPr="00D46AC3">
        <w:rPr>
          <w:rFonts w:eastAsiaTheme="minorEastAsia"/>
          <w:sz w:val="24"/>
          <w:szCs w:val="24"/>
          <w:vertAlign w:val="superscript"/>
          <w:lang w:val="it-IT"/>
        </w:rPr>
        <w:t>1</w:t>
      </w:r>
      <w:r w:rsidRPr="00D46AC3">
        <w:rPr>
          <w:rFonts w:eastAsiaTheme="minorEastAsia"/>
          <w:sz w:val="24"/>
          <w:szCs w:val="24"/>
          <w:lang w:val="it-IT"/>
        </w:rPr>
        <w:t xml:space="preserve">, Gasperini B </w:t>
      </w:r>
      <w:r w:rsidRPr="00D46AC3">
        <w:rPr>
          <w:rFonts w:eastAsiaTheme="minorEastAsia"/>
          <w:sz w:val="24"/>
          <w:szCs w:val="24"/>
          <w:vertAlign w:val="superscript"/>
          <w:lang w:val="it-IT"/>
        </w:rPr>
        <w:t>2</w:t>
      </w:r>
      <w:r w:rsidRPr="00D46AC3">
        <w:rPr>
          <w:rFonts w:eastAsiaTheme="minorEastAsia"/>
          <w:sz w:val="24"/>
          <w:szCs w:val="24"/>
          <w:lang w:val="it-IT"/>
        </w:rPr>
        <w:t xml:space="preserve">, Greggi C </w:t>
      </w:r>
      <w:r w:rsidRPr="00D46AC3">
        <w:rPr>
          <w:rFonts w:eastAsiaTheme="minorEastAsia"/>
          <w:sz w:val="24"/>
          <w:szCs w:val="24"/>
          <w:vertAlign w:val="superscript"/>
          <w:lang w:val="it-IT"/>
        </w:rPr>
        <w:t>1</w:t>
      </w:r>
      <w:r w:rsidRPr="00D46AC3">
        <w:rPr>
          <w:rFonts w:eastAsiaTheme="minorEastAsia"/>
          <w:sz w:val="24"/>
          <w:szCs w:val="24"/>
          <w:lang w:val="it-IT"/>
        </w:rPr>
        <w:t xml:space="preserve">, Battistini B </w:t>
      </w:r>
      <w:r w:rsidRPr="00D46AC3">
        <w:rPr>
          <w:rFonts w:eastAsiaTheme="minorEastAsia"/>
          <w:sz w:val="24"/>
          <w:szCs w:val="24"/>
          <w:vertAlign w:val="superscript"/>
          <w:lang w:val="it-IT"/>
        </w:rPr>
        <w:t>2</w:t>
      </w:r>
      <w:r w:rsidRPr="00D46AC3">
        <w:rPr>
          <w:rFonts w:eastAsiaTheme="minorEastAsia"/>
          <w:sz w:val="24"/>
          <w:szCs w:val="24"/>
          <w:lang w:val="it-IT"/>
        </w:rPr>
        <w:t xml:space="preserve">, Alessandra M </w:t>
      </w:r>
      <w:r w:rsidRPr="00D46AC3">
        <w:rPr>
          <w:rFonts w:eastAsiaTheme="minorEastAsia"/>
          <w:sz w:val="24"/>
          <w:szCs w:val="24"/>
          <w:vertAlign w:val="superscript"/>
          <w:lang w:val="it-IT"/>
        </w:rPr>
        <w:t>2</w:t>
      </w:r>
      <w:r w:rsidRPr="00D46AC3">
        <w:rPr>
          <w:rFonts w:eastAsiaTheme="minorEastAsia"/>
          <w:sz w:val="24"/>
          <w:szCs w:val="24"/>
          <w:lang w:val="it-IT"/>
        </w:rPr>
        <w:t xml:space="preserve">, Renzi M </w:t>
      </w:r>
      <w:r w:rsidRPr="00D46AC3">
        <w:rPr>
          <w:rFonts w:eastAsiaTheme="minorEastAsia"/>
          <w:sz w:val="24"/>
          <w:szCs w:val="24"/>
          <w:vertAlign w:val="superscript"/>
          <w:lang w:val="it-IT"/>
        </w:rPr>
        <w:t>3</w:t>
      </w:r>
      <w:r w:rsidRPr="00D46AC3">
        <w:rPr>
          <w:rFonts w:eastAsiaTheme="minorEastAsia"/>
          <w:sz w:val="24"/>
          <w:szCs w:val="24"/>
          <w:lang w:val="it-IT"/>
        </w:rPr>
        <w:t xml:space="preserve">, Bakhtafrouz K </w:t>
      </w:r>
      <w:r w:rsidRPr="00D46AC3">
        <w:rPr>
          <w:rFonts w:eastAsiaTheme="minorEastAsia"/>
          <w:sz w:val="24"/>
          <w:szCs w:val="24"/>
          <w:vertAlign w:val="superscript"/>
          <w:lang w:val="it-IT"/>
        </w:rPr>
        <w:t>3</w:t>
      </w:r>
      <w:r w:rsidRPr="00D46AC3">
        <w:rPr>
          <w:rFonts w:eastAsiaTheme="minorEastAsia"/>
          <w:sz w:val="24"/>
          <w:szCs w:val="24"/>
          <w:lang w:val="it-IT"/>
        </w:rPr>
        <w:t xml:space="preserve">, Iundusi R </w:t>
      </w:r>
      <w:r w:rsidRPr="00D46AC3">
        <w:rPr>
          <w:rFonts w:eastAsiaTheme="minorEastAsia"/>
          <w:sz w:val="24"/>
          <w:szCs w:val="24"/>
          <w:vertAlign w:val="superscript"/>
          <w:lang w:val="it-IT"/>
        </w:rPr>
        <w:t>1,3</w:t>
      </w:r>
      <w:r w:rsidRPr="00D46AC3">
        <w:rPr>
          <w:rFonts w:eastAsiaTheme="minorEastAsia"/>
          <w:sz w:val="24"/>
          <w:szCs w:val="24"/>
          <w:lang w:val="it-IT"/>
        </w:rPr>
        <w:t xml:space="preserve">, Botta A </w:t>
      </w:r>
      <w:r w:rsidRPr="00D46AC3">
        <w:rPr>
          <w:rFonts w:eastAsiaTheme="minorEastAsia"/>
          <w:sz w:val="24"/>
          <w:szCs w:val="24"/>
          <w:vertAlign w:val="superscript"/>
          <w:lang w:val="it-IT"/>
        </w:rPr>
        <w:t>2</w:t>
      </w:r>
      <w:r w:rsidRPr="00D46AC3">
        <w:rPr>
          <w:rFonts w:eastAsiaTheme="minorEastAsia"/>
          <w:sz w:val="24"/>
          <w:szCs w:val="24"/>
          <w:lang w:val="it-IT"/>
        </w:rPr>
        <w:t xml:space="preserve">, Palombi L </w:t>
      </w:r>
      <w:r w:rsidRPr="00D46AC3">
        <w:rPr>
          <w:rFonts w:eastAsiaTheme="minorEastAsia"/>
          <w:sz w:val="24"/>
          <w:szCs w:val="24"/>
          <w:vertAlign w:val="superscript"/>
          <w:lang w:val="it-IT"/>
        </w:rPr>
        <w:t>2</w:t>
      </w:r>
      <w:r w:rsidRPr="00D46AC3">
        <w:rPr>
          <w:rFonts w:eastAsiaTheme="minorEastAsia"/>
          <w:sz w:val="24"/>
          <w:szCs w:val="24"/>
          <w:lang w:val="it-IT"/>
        </w:rPr>
        <w:t xml:space="preserve">, Tarantino U </w:t>
      </w:r>
      <w:r w:rsidRPr="00D46AC3">
        <w:rPr>
          <w:rFonts w:eastAsiaTheme="minorEastAsia"/>
          <w:sz w:val="24"/>
          <w:szCs w:val="24"/>
          <w:vertAlign w:val="superscript"/>
          <w:lang w:val="it-IT"/>
        </w:rPr>
        <w:t>1,3</w:t>
      </w:r>
    </w:p>
    <w:p w14:paraId="4520FD0F" w14:textId="77777777" w:rsidR="00D46AC3" w:rsidRPr="00194D4E" w:rsidRDefault="00D46AC3" w:rsidP="00D46AC3">
      <w:pPr>
        <w:spacing w:line="360" w:lineRule="auto"/>
        <w:jc w:val="both"/>
        <w:rPr>
          <w:rFonts w:eastAsia="Times New Roman" w:cstheme="minorHAnsi"/>
          <w:lang w:val="en-GB" w:eastAsia="it-IT"/>
        </w:rPr>
      </w:pPr>
      <w:r w:rsidRPr="00194D4E">
        <w:rPr>
          <w:rFonts w:eastAsia="Times New Roman" w:cstheme="minorHAnsi"/>
          <w:vertAlign w:val="superscript"/>
          <w:lang w:val="en-GB" w:eastAsia="it-IT"/>
        </w:rPr>
        <w:t>1</w:t>
      </w:r>
      <w:r w:rsidRPr="00194D4E">
        <w:rPr>
          <w:rFonts w:eastAsia="Times New Roman" w:cstheme="minorHAnsi"/>
          <w:lang w:val="en-GB" w:eastAsia="it-IT"/>
        </w:rPr>
        <w:t xml:space="preserve"> Department of Clinical Sciences and Translational Medicine, University of Rome Tor Vergata, Via Montpellier 1, 00133 Rome, Italy</w:t>
      </w:r>
    </w:p>
    <w:p w14:paraId="1D991087" w14:textId="77777777" w:rsidR="00D46AC3" w:rsidRPr="00194D4E" w:rsidRDefault="00D46AC3" w:rsidP="00D46AC3">
      <w:pPr>
        <w:spacing w:line="360" w:lineRule="auto"/>
        <w:jc w:val="both"/>
        <w:rPr>
          <w:rFonts w:eastAsia="Times New Roman" w:cstheme="minorHAnsi"/>
          <w:lang w:val="en-GB" w:eastAsia="it-IT"/>
        </w:rPr>
      </w:pPr>
      <w:r w:rsidRPr="00194D4E">
        <w:rPr>
          <w:rFonts w:eastAsia="Times New Roman" w:cstheme="minorHAnsi"/>
          <w:vertAlign w:val="superscript"/>
          <w:lang w:val="en-GB" w:eastAsia="it-IT"/>
        </w:rPr>
        <w:t>2</w:t>
      </w:r>
      <w:r w:rsidRPr="00194D4E">
        <w:rPr>
          <w:rFonts w:eastAsia="Times New Roman" w:cstheme="minorHAnsi"/>
          <w:lang w:val="en-GB" w:eastAsia="it-IT"/>
        </w:rPr>
        <w:t xml:space="preserve"> Department of Biomedicine and Prevention, University of Rome Tor Vergata, Via Montpellier 1, 00133 Rome, Italy</w:t>
      </w:r>
    </w:p>
    <w:p w14:paraId="141BC9FC" w14:textId="77777777" w:rsidR="00D46AC3" w:rsidRPr="00194D4E" w:rsidRDefault="00D46AC3" w:rsidP="00D46AC3">
      <w:pPr>
        <w:spacing w:line="360" w:lineRule="auto"/>
        <w:jc w:val="both"/>
        <w:rPr>
          <w:rFonts w:eastAsia="Times New Roman" w:cstheme="minorHAnsi"/>
          <w:lang w:val="en-GB" w:eastAsia="it-IT"/>
        </w:rPr>
      </w:pPr>
      <w:r w:rsidRPr="00194D4E">
        <w:rPr>
          <w:rFonts w:eastAsia="Times New Roman" w:cstheme="minorHAnsi"/>
          <w:vertAlign w:val="superscript"/>
          <w:lang w:val="en-GB" w:eastAsia="it-IT"/>
        </w:rPr>
        <w:t>3</w:t>
      </w:r>
      <w:r w:rsidRPr="00194D4E">
        <w:rPr>
          <w:rFonts w:eastAsia="Times New Roman" w:cstheme="minorHAnsi"/>
          <w:lang w:val="en-GB" w:eastAsia="it-IT"/>
        </w:rPr>
        <w:t xml:space="preserve"> Department of Orthopaedics and Traumatology, “Policlinico Tor Vergata” Foundation, Viale Oxford 81,</w:t>
      </w:r>
    </w:p>
    <w:p w14:paraId="05169131" w14:textId="3A679C11" w:rsidR="00AE3E37" w:rsidRPr="00D46AC3" w:rsidRDefault="00D46AC3" w:rsidP="00D46AC3">
      <w:pPr>
        <w:spacing w:line="360" w:lineRule="auto"/>
        <w:jc w:val="both"/>
        <w:rPr>
          <w:rFonts w:eastAsia="Times New Roman" w:cstheme="minorHAnsi"/>
          <w:lang w:val="en-GB" w:eastAsia="it-IT"/>
        </w:rPr>
      </w:pPr>
      <w:r w:rsidRPr="00194D4E">
        <w:rPr>
          <w:rFonts w:eastAsia="Times New Roman" w:cstheme="minorHAnsi"/>
          <w:lang w:val="en-GB" w:eastAsia="it-IT"/>
        </w:rPr>
        <w:t>00133 Rome, Italy</w:t>
      </w:r>
    </w:p>
    <w:p w14:paraId="4DCCB534" w14:textId="77777777" w:rsidR="00AE3E37" w:rsidRDefault="00AE3E37">
      <w:pPr>
        <w:pStyle w:val="Corpotesto"/>
        <w:spacing w:before="3"/>
        <w:rPr>
          <w:rFonts w:ascii="Arial"/>
          <w:sz w:val="21"/>
        </w:rPr>
      </w:pPr>
    </w:p>
    <w:p w14:paraId="415072C4"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464FB21A" w14:textId="1E8501B8" w:rsidR="00AE3E37" w:rsidRDefault="00A9710C">
      <w:pPr>
        <w:pStyle w:val="Titolo3"/>
        <w:spacing w:before="147"/>
        <w:jc w:val="both"/>
      </w:pPr>
      <w:r>
        <w:rPr>
          <w:color w:val="BF5A14"/>
        </w:rPr>
        <w:t>Abstract</w:t>
      </w:r>
      <w:r w:rsidR="00404E5B">
        <w:rPr>
          <w:color w:val="BF5A14"/>
        </w:rPr>
        <w:t xml:space="preserve"> </w:t>
      </w:r>
    </w:p>
    <w:p w14:paraId="427882CF" w14:textId="77777777" w:rsidR="0085758C" w:rsidRPr="0085758C" w:rsidRDefault="0085758C" w:rsidP="0085758C">
      <w:pPr>
        <w:pStyle w:val="Corpotesto"/>
        <w:spacing w:before="90" w:line="280" w:lineRule="auto"/>
        <w:ind w:left="100"/>
        <w:jc w:val="both"/>
        <w:rPr>
          <w:lang w:val="en-GB"/>
        </w:rPr>
      </w:pPr>
      <w:r w:rsidRPr="0085758C">
        <w:rPr>
          <w:lang w:val="en-GB"/>
        </w:rPr>
        <w:t xml:space="preserve">Heavy metals are toxic environmental pollutants that can accumulate in the human body. Metals bioaccumulation correlates with altered expression patterns of numerous genes, including detoxifying genes, thus interfering with multiple cellular events leading to increased susceptibility to several diseases. The presence of heavy metals in bone tissue appears to be related to osteoporosis, but the role of environmental pollution in the pathogenesis of the disease has yet to be elucidated. The purpose of this study is to analyse circulating heavy metals levels and the expression of detoxifying genes in osteoporotic patients (OP), compared with healthy subjects (CTRs). Heavy metals concentration was determined by Inductively Coupled Plasma Mass Spectrometry (ICP-MS), and the expression of </w:t>
      </w:r>
      <w:r w:rsidRPr="0085758C">
        <w:rPr>
          <w:i/>
          <w:iCs/>
          <w:lang w:val="en-GB"/>
        </w:rPr>
        <w:t>NAD(P)H quinone dehydrogenase 1</w:t>
      </w:r>
      <w:r w:rsidRPr="0085758C">
        <w:rPr>
          <w:lang w:val="en-GB"/>
        </w:rPr>
        <w:t xml:space="preserve"> (</w:t>
      </w:r>
      <w:r w:rsidRPr="0085758C">
        <w:rPr>
          <w:i/>
          <w:iCs/>
          <w:lang w:val="en-GB"/>
        </w:rPr>
        <w:t>NQO1</w:t>
      </w:r>
      <w:r w:rsidRPr="0085758C">
        <w:rPr>
          <w:lang w:val="en-GB"/>
        </w:rPr>
        <w:t xml:space="preserve">), </w:t>
      </w:r>
      <w:r w:rsidRPr="0085758C">
        <w:rPr>
          <w:i/>
          <w:iCs/>
          <w:lang w:val="en-GB"/>
        </w:rPr>
        <w:t>Catalase</w:t>
      </w:r>
      <w:r w:rsidRPr="0085758C">
        <w:rPr>
          <w:lang w:val="en-GB"/>
        </w:rPr>
        <w:t xml:space="preserve"> (</w:t>
      </w:r>
      <w:r w:rsidRPr="0085758C">
        <w:rPr>
          <w:i/>
          <w:iCs/>
          <w:lang w:val="en-GB"/>
        </w:rPr>
        <w:t>CAT</w:t>
      </w:r>
      <w:r w:rsidRPr="0085758C">
        <w:rPr>
          <w:lang w:val="en-GB"/>
        </w:rPr>
        <w:t xml:space="preserve">), and </w:t>
      </w:r>
      <w:r w:rsidRPr="0085758C">
        <w:rPr>
          <w:i/>
          <w:iCs/>
          <w:lang w:val="en-GB"/>
        </w:rPr>
        <w:t xml:space="preserve">Metallothionein 1E </w:t>
      </w:r>
      <w:r w:rsidRPr="0085758C">
        <w:rPr>
          <w:lang w:val="en-GB"/>
        </w:rPr>
        <w:t>(</w:t>
      </w:r>
      <w:r w:rsidRPr="0085758C">
        <w:rPr>
          <w:i/>
          <w:iCs/>
          <w:lang w:val="en-GB"/>
        </w:rPr>
        <w:t>MT1E</w:t>
      </w:r>
      <w:r w:rsidRPr="0085758C">
        <w:rPr>
          <w:lang w:val="en-GB"/>
        </w:rPr>
        <w:t xml:space="preserve">) genes was assessed by real-time polymerase chain reaction (qRT-PCR). Copper (Cu), mercury (Hg), molybdenum (Mo) and lead (Pb) were found to be significantly higher in the plasma of OP patients compared to CTR subjects. Analysis of the expression levels of detoxifying genes showed a significant decrease in </w:t>
      </w:r>
      <w:r w:rsidRPr="0085758C">
        <w:rPr>
          <w:i/>
          <w:iCs/>
          <w:lang w:val="en-GB"/>
        </w:rPr>
        <w:t>CAT</w:t>
      </w:r>
      <w:r w:rsidRPr="0085758C">
        <w:rPr>
          <w:lang w:val="en-GB"/>
        </w:rPr>
        <w:t xml:space="preserve"> and </w:t>
      </w:r>
      <w:r w:rsidRPr="0085758C">
        <w:rPr>
          <w:i/>
          <w:iCs/>
          <w:lang w:val="en-GB"/>
        </w:rPr>
        <w:t xml:space="preserve">MT1E </w:t>
      </w:r>
      <w:r w:rsidRPr="0085758C">
        <w:rPr>
          <w:lang w:val="en-GB"/>
        </w:rPr>
        <w:t xml:space="preserve">in OP subjects. In addition, Cu correlated positively with the expression levels of </w:t>
      </w:r>
      <w:r w:rsidRPr="0085758C">
        <w:rPr>
          <w:i/>
          <w:iCs/>
          <w:lang w:val="en-GB"/>
        </w:rPr>
        <w:t xml:space="preserve">CAT </w:t>
      </w:r>
      <w:r w:rsidRPr="0085758C">
        <w:rPr>
          <w:lang w:val="en-GB"/>
        </w:rPr>
        <w:t xml:space="preserve">and </w:t>
      </w:r>
      <w:r w:rsidRPr="0085758C">
        <w:rPr>
          <w:i/>
          <w:iCs/>
          <w:lang w:val="en-GB"/>
        </w:rPr>
        <w:t xml:space="preserve">MT1E </w:t>
      </w:r>
      <w:r w:rsidRPr="0085758C">
        <w:rPr>
          <w:lang w:val="en-GB"/>
        </w:rPr>
        <w:t xml:space="preserve">in CTRs group and </w:t>
      </w:r>
      <w:r w:rsidRPr="0085758C">
        <w:rPr>
          <w:i/>
          <w:iCs/>
          <w:lang w:val="en-GB"/>
        </w:rPr>
        <w:t>MT1E</w:t>
      </w:r>
      <w:r w:rsidRPr="0085758C">
        <w:rPr>
          <w:lang w:val="en-GB"/>
        </w:rPr>
        <w:t xml:space="preserve"> in OP patients. This study suggests that bioaccumulation of certain metals is potentially related to an altered expression pattern of detoxifying genes in OP patients. </w:t>
      </w:r>
    </w:p>
    <w:p w14:paraId="4738D389" w14:textId="77777777" w:rsidR="00AE3E37" w:rsidRDefault="00A9710C">
      <w:pPr>
        <w:pStyle w:val="Titolo3"/>
        <w:spacing w:before="74"/>
      </w:pPr>
      <w:r>
        <w:rPr>
          <w:b w:val="0"/>
        </w:rPr>
        <w:br w:type="column"/>
      </w:r>
      <w:r>
        <w:rPr>
          <w:color w:val="BF5A14"/>
        </w:rPr>
        <w:t>Image</w:t>
      </w:r>
    </w:p>
    <w:p w14:paraId="6A17FBB8" w14:textId="41A3F622" w:rsidR="00AE3E37" w:rsidRDefault="00AB0AD3">
      <w:pPr>
        <w:pStyle w:val="Corpotesto"/>
        <w:spacing w:before="2"/>
        <w:rPr>
          <w:rFonts w:ascii="Arial"/>
          <w:b/>
          <w:sz w:val="16"/>
        </w:rPr>
      </w:pPr>
      <w:r>
        <w:rPr>
          <w:noProof/>
        </w:rPr>
        <w:drawing>
          <wp:inline distT="0" distB="0" distL="0" distR="0" wp14:anchorId="4A2655F6" wp14:editId="6DB220DC">
            <wp:extent cx="3165475" cy="402717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165475" cy="4027170"/>
                    </a:xfrm>
                    <a:prstGeom prst="rect">
                      <a:avLst/>
                    </a:prstGeom>
                  </pic:spPr>
                </pic:pic>
              </a:graphicData>
            </a:graphic>
          </wp:inline>
        </w:drawing>
      </w:r>
    </w:p>
    <w:p w14:paraId="3520B097" w14:textId="600C50CE" w:rsidR="005973B9" w:rsidRDefault="005973B9" w:rsidP="005973B9">
      <w:pPr>
        <w:spacing w:line="204" w:lineRule="exact"/>
        <w:rPr>
          <w:rFonts w:ascii="Arial"/>
          <w:b/>
          <w:sz w:val="20"/>
        </w:rPr>
      </w:pPr>
      <w:r>
        <w:rPr>
          <w:rFonts w:ascii="Arial"/>
          <w:b/>
          <w:color w:val="BF5A14"/>
          <w:sz w:val="20"/>
        </w:rPr>
        <w:br/>
        <w:t>Recent Publications</w:t>
      </w:r>
    </w:p>
    <w:p w14:paraId="62BCC94F" w14:textId="77777777" w:rsidR="0085758C" w:rsidRDefault="0085758C" w:rsidP="005973B9">
      <w:pPr>
        <w:pStyle w:val="Paragrafoelenco"/>
        <w:numPr>
          <w:ilvl w:val="0"/>
          <w:numId w:val="3"/>
        </w:numPr>
        <w:tabs>
          <w:tab w:val="left" w:pos="384"/>
        </w:tabs>
        <w:spacing w:line="216" w:lineRule="exact"/>
        <w:ind w:right="137" w:hanging="283"/>
        <w:rPr>
          <w:sz w:val="18"/>
        </w:rPr>
      </w:pPr>
      <w:r w:rsidRPr="0085758C">
        <w:rPr>
          <w:sz w:val="18"/>
        </w:rPr>
        <w:t>Hemmaphan, S.; Bordeerat, N.K. Genotoxic Effects of Lead and Their Impact on the Expression of DNA Repair Genes. Int. J. Environ. Res. Public Health 2022, 19, doi:10.3390/ijerph19074307.</w:t>
      </w:r>
    </w:p>
    <w:p w14:paraId="5D05C530" w14:textId="77777777" w:rsidR="0085758C" w:rsidRPr="0085758C" w:rsidRDefault="0085758C" w:rsidP="005973B9">
      <w:pPr>
        <w:pStyle w:val="Paragrafoelenco"/>
        <w:numPr>
          <w:ilvl w:val="0"/>
          <w:numId w:val="3"/>
        </w:numPr>
        <w:tabs>
          <w:tab w:val="left" w:pos="384"/>
        </w:tabs>
        <w:spacing w:line="216" w:lineRule="exact"/>
        <w:ind w:right="138" w:hanging="283"/>
        <w:rPr>
          <w:sz w:val="18"/>
        </w:rPr>
      </w:pPr>
      <w:r w:rsidRPr="0085758C">
        <w:rPr>
          <w:sz w:val="18"/>
          <w:lang w:val="en-GB"/>
        </w:rPr>
        <w:t xml:space="preserve">Banjabi, A.A.; Kannan, K.; Kumosani, T.A.; Yousef, J.M.; Abulnaja, K.O.; Moselhy, S.S. Association of Blood Heavy Metal Levels with Osteocalcin Abnormality and  Incidence of Osteoporosis in Saudi Subjects. </w:t>
      </w:r>
      <w:r w:rsidRPr="0085758C">
        <w:rPr>
          <w:i/>
          <w:iCs/>
          <w:sz w:val="18"/>
          <w:lang w:val="en-GB"/>
        </w:rPr>
        <w:t>Braz. J. Biol.</w:t>
      </w:r>
      <w:r w:rsidRPr="0085758C">
        <w:rPr>
          <w:sz w:val="18"/>
          <w:lang w:val="en-GB"/>
        </w:rPr>
        <w:t xml:space="preserve"> </w:t>
      </w:r>
      <w:r w:rsidRPr="0085758C">
        <w:rPr>
          <w:b/>
          <w:bCs/>
          <w:sz w:val="18"/>
          <w:lang w:val="en-GB"/>
        </w:rPr>
        <w:t>2021</w:t>
      </w:r>
      <w:r w:rsidRPr="0085758C">
        <w:rPr>
          <w:sz w:val="18"/>
          <w:lang w:val="en-GB"/>
        </w:rPr>
        <w:t xml:space="preserve">, </w:t>
      </w:r>
      <w:r w:rsidRPr="0085758C">
        <w:rPr>
          <w:i/>
          <w:iCs/>
          <w:sz w:val="18"/>
          <w:lang w:val="en-GB"/>
        </w:rPr>
        <w:t>83</w:t>
      </w:r>
      <w:r w:rsidRPr="0085758C">
        <w:rPr>
          <w:sz w:val="18"/>
          <w:lang w:val="en-GB"/>
        </w:rPr>
        <w:t>, e248828, doi:10.1590/1519-6984.248828.</w:t>
      </w:r>
    </w:p>
    <w:p w14:paraId="43C431C4" w14:textId="77777777" w:rsidR="0085758C" w:rsidRDefault="0085758C" w:rsidP="005973B9">
      <w:pPr>
        <w:pStyle w:val="Paragrafoelenco"/>
        <w:numPr>
          <w:ilvl w:val="0"/>
          <w:numId w:val="3"/>
        </w:numPr>
        <w:tabs>
          <w:tab w:val="left" w:pos="384"/>
        </w:tabs>
        <w:spacing w:before="92" w:line="218" w:lineRule="exact"/>
        <w:ind w:hanging="283"/>
        <w:rPr>
          <w:sz w:val="18"/>
        </w:rPr>
      </w:pPr>
      <w:r w:rsidRPr="0085758C">
        <w:rPr>
          <w:sz w:val="18"/>
        </w:rPr>
        <w:t>Mitra, P.; Sharma, S.; Purohit, P.; Sharma, P. Clinical and Molecular Aspects of Lead Toxicity: An Update. Crit. Rev. Clin. Lab. Sci. 2017, 54, 506–528, doi:10.1080/10408363.2017.1408562.</w:t>
      </w:r>
    </w:p>
    <w:p w14:paraId="3B853744" w14:textId="77777777" w:rsidR="0085758C" w:rsidRPr="0085758C" w:rsidRDefault="0085758C" w:rsidP="0085758C">
      <w:pPr>
        <w:pStyle w:val="Paragrafoelenco"/>
        <w:numPr>
          <w:ilvl w:val="0"/>
          <w:numId w:val="3"/>
        </w:numPr>
        <w:tabs>
          <w:tab w:val="left" w:pos="384"/>
        </w:tabs>
        <w:spacing w:before="92" w:line="218" w:lineRule="exact"/>
        <w:ind w:hanging="283"/>
      </w:pPr>
      <w:r w:rsidRPr="0085758C">
        <w:rPr>
          <w:sz w:val="18"/>
          <w:lang w:val="en-GB"/>
        </w:rPr>
        <w:lastRenderedPageBreak/>
        <w:t xml:space="preserve">Lim, H.-S.; Lee, H.-H.; Kim, T.-H.; Lee, B.-R. Relationship between Heavy Metal Exposure and Bone Mineral Density in Korean  Adult. </w:t>
      </w:r>
      <w:r w:rsidRPr="0085758C">
        <w:rPr>
          <w:i/>
          <w:iCs/>
          <w:sz w:val="18"/>
          <w:lang w:val="en-GB"/>
        </w:rPr>
        <w:t>J. bone Metab.</w:t>
      </w:r>
      <w:r w:rsidRPr="0085758C">
        <w:rPr>
          <w:sz w:val="18"/>
          <w:lang w:val="en-GB"/>
        </w:rPr>
        <w:t xml:space="preserve"> </w:t>
      </w:r>
      <w:r w:rsidRPr="0085758C">
        <w:rPr>
          <w:b/>
          <w:bCs/>
          <w:sz w:val="18"/>
          <w:lang w:val="en-GB"/>
        </w:rPr>
        <w:t>2016</w:t>
      </w:r>
      <w:r w:rsidRPr="0085758C">
        <w:rPr>
          <w:sz w:val="18"/>
          <w:lang w:val="en-GB"/>
        </w:rPr>
        <w:t xml:space="preserve">, </w:t>
      </w:r>
      <w:r w:rsidRPr="0085758C">
        <w:rPr>
          <w:i/>
          <w:iCs/>
          <w:sz w:val="18"/>
          <w:lang w:val="en-GB"/>
        </w:rPr>
        <w:t>23</w:t>
      </w:r>
      <w:r w:rsidRPr="0085758C">
        <w:rPr>
          <w:sz w:val="18"/>
          <w:lang w:val="en-GB"/>
        </w:rPr>
        <w:t>, 223–231, doi:10.11005/jbm.2016.23.4.223.</w:t>
      </w:r>
    </w:p>
    <w:p w14:paraId="4ECA3D16" w14:textId="29F794A1" w:rsidR="00AE3E37" w:rsidRPr="0085758C" w:rsidRDefault="0085758C" w:rsidP="002D0923">
      <w:pPr>
        <w:pStyle w:val="Paragrafoelenco"/>
        <w:numPr>
          <w:ilvl w:val="0"/>
          <w:numId w:val="3"/>
        </w:numPr>
        <w:tabs>
          <w:tab w:val="left" w:pos="384"/>
        </w:tabs>
        <w:spacing w:before="92" w:line="218" w:lineRule="exact"/>
        <w:ind w:right="117" w:hanging="283"/>
        <w:rPr>
          <w:sz w:val="18"/>
          <w:lang w:val="en-GB"/>
        </w:rPr>
      </w:pPr>
      <w:r w:rsidRPr="0085758C">
        <w:rPr>
          <w:sz w:val="18"/>
          <w:lang w:val="en-GB"/>
        </w:rPr>
        <w:t xml:space="preserve">Scimeca, M.; Feola, M.; Romano, L.; Rao, C.; Gasbarra, E.; </w:t>
      </w:r>
      <w:r w:rsidRPr="0085758C">
        <w:rPr>
          <w:sz w:val="18"/>
          <w:lang w:val="en-GB"/>
        </w:rPr>
        <w:t>Bonanno, E.; Brandi, M.L.; Tarantino, U. Heavy Metals Accumulation Affects Bone Microarchitecture in Osteoporotic  Patients. Environ. Toxicol. 2017, 32, 1333–1342, doi:10.1002/tox.22327.</w:t>
      </w:r>
    </w:p>
    <w:p w14:paraId="3F96677C"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4CF39945" w14:textId="77777777" w:rsidR="00AB0AD3" w:rsidRDefault="00D62425">
      <w:pPr>
        <w:pStyle w:val="Corpotesto"/>
        <w:rPr>
          <w:rFonts w:ascii="Calibri"/>
          <w:sz w:val="20"/>
        </w:rPr>
      </w:pPr>
      <w:r>
        <w:rPr>
          <w:rFonts w:ascii="Calibri"/>
          <w:sz w:val="20"/>
        </w:rPr>
        <w:t xml:space="preserve">                 </w:t>
      </w:r>
    </w:p>
    <w:p w14:paraId="4E923FD7" w14:textId="77777777" w:rsidR="00AB0AD3" w:rsidRDefault="00AB0AD3">
      <w:pPr>
        <w:pStyle w:val="Corpotesto"/>
        <w:rPr>
          <w:rFonts w:ascii="Calibri"/>
          <w:sz w:val="20"/>
        </w:rPr>
      </w:pPr>
    </w:p>
    <w:p w14:paraId="55E29448" w14:textId="77777777" w:rsidR="00AB0AD3" w:rsidRDefault="00AB0AD3">
      <w:pPr>
        <w:pStyle w:val="Corpotesto"/>
        <w:rPr>
          <w:rFonts w:ascii="Calibri"/>
          <w:sz w:val="20"/>
        </w:rPr>
      </w:pPr>
    </w:p>
    <w:p w14:paraId="080CC882" w14:textId="5BA7F804" w:rsidR="00AE3E37" w:rsidRPr="00D62425" w:rsidRDefault="00D62425">
      <w:pPr>
        <w:pStyle w:val="Corpotesto"/>
        <w:rPr>
          <w:rFonts w:ascii="Calibri"/>
          <w:b/>
          <w:sz w:val="20"/>
        </w:rPr>
      </w:pPr>
      <w:r w:rsidRPr="00D62425">
        <w:rPr>
          <w:rFonts w:ascii="Calibri"/>
          <w:b/>
          <w:sz w:val="20"/>
        </w:rPr>
        <w:t>Photograph</w:t>
      </w:r>
    </w:p>
    <w:p w14:paraId="6D74C923" w14:textId="77777777" w:rsidR="00AE3E37" w:rsidRDefault="00292ED9">
      <w:pPr>
        <w:pStyle w:val="Corpotesto"/>
        <w:spacing w:line="40" w:lineRule="exact"/>
        <w:ind w:left="2202"/>
        <w:rPr>
          <w:rFonts w:ascii="Calibri"/>
          <w:sz w:val="4"/>
        </w:rPr>
      </w:pPr>
      <w:r>
        <w:rPr>
          <w:rFonts w:ascii="Calibri"/>
          <w:noProof/>
          <w:sz w:val="4"/>
          <w:lang w:val="en-IN" w:eastAsia="en-IN"/>
        </w:rPr>
        <mc:AlternateContent>
          <mc:Choice Requires="wpg">
            <w:drawing>
              <wp:inline distT="0" distB="0" distL="0" distR="0" wp14:anchorId="77F7FDFB" wp14:editId="7FD76BEF">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F5157D1"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1A80ECA5" w14:textId="77777777" w:rsidR="00AB0AD3" w:rsidRDefault="008756E6" w:rsidP="00404E5B">
      <w:pPr>
        <w:spacing w:before="92"/>
        <w:ind w:right="4234"/>
        <w:rPr>
          <w:noProof/>
        </w:rPr>
      </w:pPr>
      <w:r>
        <w:rPr>
          <w:noProof/>
        </w:rPr>
        <w:t xml:space="preserve">              </w:t>
      </w:r>
      <w:r w:rsidR="007A2DA0" w:rsidRPr="008F763F">
        <w:rPr>
          <w:noProof/>
          <w:sz w:val="16"/>
        </w:rPr>
        <w:drawing>
          <wp:inline distT="0" distB="0" distL="0" distR="0" wp14:anchorId="237C3BFA" wp14:editId="22378B52">
            <wp:extent cx="666750" cy="889000"/>
            <wp:effectExtent l="0" t="0" r="0" b="635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73956" cy="898608"/>
                    </a:xfrm>
                    <a:prstGeom prst="rect">
                      <a:avLst/>
                    </a:prstGeom>
                    <a:noFill/>
                    <a:ln>
                      <a:noFill/>
                    </a:ln>
                  </pic:spPr>
                </pic:pic>
              </a:graphicData>
            </a:graphic>
          </wp:inline>
        </w:drawing>
      </w:r>
    </w:p>
    <w:p w14:paraId="34554079" w14:textId="705F7E65"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w:t>
      </w:r>
    </w:p>
    <w:p w14:paraId="45972611" w14:textId="309BEA26" w:rsidR="00AE3E37" w:rsidRDefault="007F47EE">
      <w:pPr>
        <w:spacing w:before="41" w:line="154" w:lineRule="exact"/>
        <w:ind w:left="213" w:right="231"/>
        <w:jc w:val="both"/>
        <w:rPr>
          <w:rFonts w:ascii="Arial"/>
          <w:sz w:val="14"/>
        </w:rPr>
      </w:pPr>
      <w:r w:rsidRPr="007F47EE">
        <w:rPr>
          <w:rFonts w:ascii="Arial"/>
          <w:sz w:val="14"/>
        </w:rPr>
        <w:t>Dr Visconti has experience in the field of molecular genetics. In particular, she is involved in the study of pathologies of the musculoskeletal system, such as osteoporosis and osteoarthritis, and the involvement of epigenetic mechanisms in the pathogenesis of these diseases. Most recently, he has focused on the study of the role of heavy metals in negatively modulating bone health.</w:t>
      </w:r>
      <w:r w:rsidRPr="007F47EE">
        <w:rPr>
          <w:rFonts w:asciiTheme="minorHAnsi" w:eastAsiaTheme="minorHAnsi" w:hAnsiTheme="minorHAnsi" w:cstheme="minorBidi"/>
          <w:sz w:val="24"/>
          <w:szCs w:val="24"/>
          <w:lang w:val="en-GB"/>
        </w:rPr>
        <w:t xml:space="preserve"> </w:t>
      </w:r>
      <w:r>
        <w:rPr>
          <w:rFonts w:ascii="Arial"/>
          <w:sz w:val="14"/>
          <w:lang w:val="en-GB"/>
        </w:rPr>
        <w:t>Indeed, t</w:t>
      </w:r>
      <w:r w:rsidRPr="007F47EE">
        <w:rPr>
          <w:rFonts w:ascii="Arial"/>
          <w:sz w:val="14"/>
          <w:lang w:val="en-GB"/>
        </w:rPr>
        <w:t>he purpose of this study is to analyse circulating heavy metals levels and the expression of detoxifying genes in osteoporotic patients, compared with healthy subjects.</w:t>
      </w:r>
    </w:p>
    <w:p w14:paraId="529C3849" w14:textId="79089BD6" w:rsidR="00AE3E37" w:rsidRDefault="00A9710C">
      <w:pPr>
        <w:spacing w:before="62"/>
        <w:ind w:left="4217" w:right="4235"/>
        <w:jc w:val="center"/>
        <w:rPr>
          <w:rFonts w:ascii="Arial"/>
          <w:sz w:val="14"/>
        </w:rPr>
      </w:pPr>
      <w:r>
        <w:rPr>
          <w:rFonts w:ascii="Arial"/>
          <w:sz w:val="14"/>
        </w:rPr>
        <w:t xml:space="preserve">Email: </w:t>
      </w:r>
      <w:hyperlink r:id="rId11" w:history="1">
        <w:r w:rsidR="007A2DA0" w:rsidRPr="008724D1">
          <w:rPr>
            <w:rStyle w:val="Collegamentoipertestuale"/>
            <w:rFonts w:ascii="Arial"/>
            <w:sz w:val="14"/>
          </w:rPr>
          <w:t>virginiaveronicavisconti@gmail.com</w:t>
        </w:r>
      </w:hyperlink>
    </w:p>
    <w:p w14:paraId="4E2827C1" w14:textId="77777777" w:rsidR="00AE3E37" w:rsidRDefault="00292ED9">
      <w:pPr>
        <w:pStyle w:val="Corpotesto"/>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6E4E4F9B" wp14:editId="4D50EBB6">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B7EC8C"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7589EBC8" w14:textId="77777777" w:rsidR="00AE3E37" w:rsidRDefault="00AE3E37">
      <w:pPr>
        <w:pStyle w:val="Corpotesto"/>
        <w:rPr>
          <w:rFonts w:ascii="Arial"/>
          <w:sz w:val="20"/>
        </w:rPr>
      </w:pPr>
    </w:p>
    <w:p w14:paraId="47273B3C" w14:textId="77777777" w:rsidR="00AE3E37" w:rsidRDefault="00AE3E37">
      <w:pPr>
        <w:pStyle w:val="Corpotesto"/>
        <w:rPr>
          <w:rFonts w:ascii="Arial"/>
          <w:sz w:val="20"/>
        </w:rPr>
      </w:pPr>
    </w:p>
    <w:p w14:paraId="47185612" w14:textId="77777777" w:rsidR="00AE3E37" w:rsidRDefault="00AE3E37">
      <w:pPr>
        <w:pStyle w:val="Corpotesto"/>
        <w:spacing w:before="7"/>
        <w:rPr>
          <w:rFonts w:ascii="Arial"/>
          <w:sz w:val="29"/>
        </w:rPr>
      </w:pPr>
    </w:p>
    <w:p w14:paraId="0BAAD240" w14:textId="77777777" w:rsidR="00AE3E37" w:rsidRPr="00B21A57" w:rsidRDefault="00A9710C">
      <w:pPr>
        <w:spacing w:before="39"/>
        <w:ind w:left="100"/>
        <w:rPr>
          <w:rFonts w:ascii="Minion Pro"/>
          <w:b/>
          <w:sz w:val="20"/>
        </w:rPr>
      </w:pPr>
      <w:r w:rsidRPr="00B21A57">
        <w:rPr>
          <w:rFonts w:ascii="Minion Pro"/>
          <w:b/>
          <w:sz w:val="20"/>
        </w:rPr>
        <w:t>Notes/Comments:</w:t>
      </w:r>
    </w:p>
    <w:p w14:paraId="33508F55"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34977E8E" w14:textId="77777777" w:rsidR="00AE3E37" w:rsidRDefault="00AE3E37">
      <w:pPr>
        <w:pStyle w:val="Corpotesto"/>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37AE4D" w14:textId="77777777" w:rsidR="001B47E4" w:rsidRDefault="001B47E4">
      <w:r>
        <w:separator/>
      </w:r>
    </w:p>
  </w:endnote>
  <w:endnote w:type="continuationSeparator" w:id="0">
    <w:p w14:paraId="30464275" w14:textId="77777777" w:rsidR="001B47E4" w:rsidRDefault="001B47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F4F5DB" w14:textId="77777777" w:rsidR="00AE3E37" w:rsidRDefault="00292ED9">
    <w:pPr>
      <w:pStyle w:val="Corpotesto"/>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6A519DBD" wp14:editId="581D527F">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D2CF9A"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F731CD1"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519DBD"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" filled="f" stroked="f">
              <v:textbox inset="0,0,0,0">
                <w:txbxContent>
                  <w:p w14:paraId="51D2CF9A"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F731CD1"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77F2AF1F" wp14:editId="34352210">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D0C37D"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7E84CC8"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F2AF1F"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" filled="f" stroked="f">
              <v:textbox inset="0,0,0,0">
                <w:txbxContent>
                  <w:p w14:paraId="14D0C37D"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7E84CC8"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75688591" wp14:editId="45D9100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77110B"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1D5C3B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688591"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XQLQrNoBAACYAwAADgAAAAAAAAAAAAAAAAAuAgAAZHJzL2Uyb0RvYy54bWxQSwECLQAUAAYA&#10;CAAAACEA4y1yTuIAAAAOAQAADwAAAAAAAAAAAAAAAAA0BAAAZHJzL2Rvd25yZXYueG1sUEsFBgAA&#10;AAAEAAQA8wAAAEMFAAAAAA==&#10;" filled="f" stroked="f">
              <v:textbox inset="0,0,0,0">
                <w:txbxContent>
                  <w:p w14:paraId="5B77110B"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1D5C3B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AE83A9" w14:textId="77777777" w:rsidR="001B47E4" w:rsidRDefault="001B47E4">
      <w:r>
        <w:separator/>
      </w:r>
    </w:p>
  </w:footnote>
  <w:footnote w:type="continuationSeparator" w:id="0">
    <w:p w14:paraId="33755975" w14:textId="77777777" w:rsidR="001B47E4" w:rsidRDefault="001B47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72BB2" w14:textId="77777777" w:rsidR="00AE3E37" w:rsidRDefault="00292ED9">
    <w:pPr>
      <w:pStyle w:val="Corpotesto"/>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0708C3D1" wp14:editId="764CCF36">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47A173"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08C3D1"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" filled="f" stroked="f">
              <v:textbox inset="0,0,0,0">
                <w:txbxContent>
                  <w:p w14:paraId="3347A173"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7BB643D9" wp14:editId="1A55D824">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174DEE" w14:textId="77777777" w:rsidR="00AE3E37" w:rsidRPr="005B3A56" w:rsidRDefault="00A9710C">
                          <w:pPr>
                            <w:pStyle w:val="Corpotesto"/>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2156E16"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B643D9"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" filled="f" stroked="f">
              <v:textbox inset="0,0,0,0">
                <w:txbxContent>
                  <w:p w14:paraId="2D174DEE" w14:textId="77777777" w:rsidR="00AE3E37" w:rsidRPr="005B3A56" w:rsidRDefault="00A9710C">
                    <w:pPr>
                      <w:pStyle w:val="Corpotesto"/>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2156E16"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47459805">
    <w:abstractNumId w:val="0"/>
  </w:num>
  <w:num w:numId="2" w16cid:durableId="1973094472">
    <w:abstractNumId w:val="1"/>
  </w:num>
  <w:num w:numId="3" w16cid:durableId="1824422749">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E2911"/>
    <w:rsid w:val="001263DF"/>
    <w:rsid w:val="001B47E4"/>
    <w:rsid w:val="001E763C"/>
    <w:rsid w:val="00292ED9"/>
    <w:rsid w:val="00314AFB"/>
    <w:rsid w:val="003B76D9"/>
    <w:rsid w:val="00404E5B"/>
    <w:rsid w:val="00414F7B"/>
    <w:rsid w:val="004355DC"/>
    <w:rsid w:val="004749B4"/>
    <w:rsid w:val="00494130"/>
    <w:rsid w:val="004F3523"/>
    <w:rsid w:val="005973B9"/>
    <w:rsid w:val="005B3A56"/>
    <w:rsid w:val="006060CE"/>
    <w:rsid w:val="0063497F"/>
    <w:rsid w:val="0078738A"/>
    <w:rsid w:val="007A2DA0"/>
    <w:rsid w:val="007F47EE"/>
    <w:rsid w:val="0085758C"/>
    <w:rsid w:val="00873DF0"/>
    <w:rsid w:val="008756E6"/>
    <w:rsid w:val="009B2D44"/>
    <w:rsid w:val="00A07E82"/>
    <w:rsid w:val="00A9710C"/>
    <w:rsid w:val="00AB0AD3"/>
    <w:rsid w:val="00AE3E37"/>
    <w:rsid w:val="00B21A57"/>
    <w:rsid w:val="00C33602"/>
    <w:rsid w:val="00CD6F55"/>
    <w:rsid w:val="00D46AC3"/>
    <w:rsid w:val="00D62425"/>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2359C3"/>
  <w15:docId w15:val="{41EBC979-1E36-464B-94A7-BB2BD804F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sid w:val="00CD6F55"/>
    <w:rPr>
      <w:rFonts w:ascii="Tw Cen MT" w:eastAsia="Tw Cen MT" w:hAnsi="Tw Cen MT" w:cs="Tw Cen MT"/>
    </w:rPr>
  </w:style>
  <w:style w:type="paragraph" w:styleId="Titolo1">
    <w:name w:val="heading 1"/>
    <w:basedOn w:val="Normale"/>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olo2">
    <w:name w:val="heading 2"/>
    <w:basedOn w:val="Normale"/>
    <w:uiPriority w:val="1"/>
    <w:qFormat/>
    <w:rsid w:val="00CD6F55"/>
    <w:pPr>
      <w:ind w:left="100"/>
      <w:outlineLvl w:val="1"/>
    </w:pPr>
    <w:rPr>
      <w:rFonts w:ascii="Minion Pro" w:eastAsia="Minion Pro" w:hAnsi="Minion Pro" w:cs="Minion Pro"/>
      <w:sz w:val="24"/>
      <w:szCs w:val="24"/>
    </w:rPr>
  </w:style>
  <w:style w:type="paragraph" w:styleId="Titolo3">
    <w:name w:val="heading 3"/>
    <w:basedOn w:val="Normale"/>
    <w:uiPriority w:val="1"/>
    <w:qFormat/>
    <w:rsid w:val="00CD6F55"/>
    <w:pPr>
      <w:ind w:left="100"/>
      <w:outlineLvl w:val="2"/>
    </w:pPr>
    <w:rPr>
      <w:rFonts w:ascii="Arial" w:eastAsia="Arial" w:hAnsi="Arial" w:cs="Arial"/>
      <w:b/>
      <w:bCs/>
      <w:sz w:val="20"/>
      <w:szCs w:val="20"/>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uiPriority w:val="1"/>
    <w:qFormat/>
    <w:rsid w:val="00CD6F55"/>
    <w:rPr>
      <w:sz w:val="18"/>
      <w:szCs w:val="18"/>
    </w:rPr>
  </w:style>
  <w:style w:type="paragraph" w:styleId="Paragrafoelenco">
    <w:name w:val="List Paragraph"/>
    <w:basedOn w:val="Normale"/>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e"/>
    <w:uiPriority w:val="1"/>
    <w:qFormat/>
    <w:rsid w:val="00CD6F55"/>
  </w:style>
  <w:style w:type="paragraph" w:styleId="Intestazione">
    <w:name w:val="header"/>
    <w:basedOn w:val="Normale"/>
    <w:link w:val="IntestazioneCarattere"/>
    <w:uiPriority w:val="99"/>
    <w:unhideWhenUsed/>
    <w:rsid w:val="005B3A56"/>
    <w:pPr>
      <w:tabs>
        <w:tab w:val="center" w:pos="4513"/>
        <w:tab w:val="right" w:pos="9026"/>
      </w:tabs>
    </w:pPr>
  </w:style>
  <w:style w:type="character" w:customStyle="1" w:styleId="IntestazioneCarattere">
    <w:name w:val="Intestazione Carattere"/>
    <w:basedOn w:val="Carpredefinitoparagrafo"/>
    <w:link w:val="Intestazione"/>
    <w:uiPriority w:val="99"/>
    <w:rsid w:val="005B3A56"/>
    <w:rPr>
      <w:rFonts w:ascii="Tw Cen MT" w:eastAsia="Tw Cen MT" w:hAnsi="Tw Cen MT" w:cs="Tw Cen MT"/>
    </w:rPr>
  </w:style>
  <w:style w:type="paragraph" w:styleId="Pidipagina">
    <w:name w:val="footer"/>
    <w:basedOn w:val="Normale"/>
    <w:link w:val="PidipaginaCarattere"/>
    <w:uiPriority w:val="99"/>
    <w:unhideWhenUsed/>
    <w:rsid w:val="005B3A56"/>
    <w:pPr>
      <w:tabs>
        <w:tab w:val="center" w:pos="4513"/>
        <w:tab w:val="right" w:pos="9026"/>
      </w:tabs>
    </w:pPr>
  </w:style>
  <w:style w:type="character" w:customStyle="1" w:styleId="PidipaginaCarattere">
    <w:name w:val="Piè di pagina Carattere"/>
    <w:basedOn w:val="Carpredefinitoparagrafo"/>
    <w:link w:val="Pidipagina"/>
    <w:uiPriority w:val="99"/>
    <w:rsid w:val="005B3A56"/>
    <w:rPr>
      <w:rFonts w:ascii="Tw Cen MT" w:eastAsia="Tw Cen MT" w:hAnsi="Tw Cen MT" w:cs="Tw Cen MT"/>
    </w:rPr>
  </w:style>
  <w:style w:type="paragraph" w:styleId="Testofumetto">
    <w:name w:val="Balloon Text"/>
    <w:basedOn w:val="Normale"/>
    <w:link w:val="TestofumettoCarattere"/>
    <w:uiPriority w:val="99"/>
    <w:semiHidden/>
    <w:unhideWhenUsed/>
    <w:rsid w:val="004F352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F3523"/>
    <w:rPr>
      <w:rFonts w:ascii="Tahoma" w:eastAsia="Tw Cen MT" w:hAnsi="Tahoma" w:cs="Tahoma"/>
      <w:sz w:val="16"/>
      <w:szCs w:val="16"/>
    </w:rPr>
  </w:style>
  <w:style w:type="character" w:styleId="Collegamentoipertestuale">
    <w:name w:val="Hyperlink"/>
    <w:basedOn w:val="Carpredefinitoparagrafo"/>
    <w:uiPriority w:val="99"/>
    <w:unhideWhenUsed/>
    <w:rsid w:val="008756E6"/>
    <w:rPr>
      <w:color w:val="0000FF" w:themeColor="hyperlink"/>
      <w:u w:val="single"/>
    </w:rPr>
  </w:style>
  <w:style w:type="character" w:customStyle="1" w:styleId="CorpotestoCarattere">
    <w:name w:val="Corpo testo Carattere"/>
    <w:basedOn w:val="Carpredefinitoparagrafo"/>
    <w:link w:val="Corpotesto"/>
    <w:uiPriority w:val="1"/>
    <w:rsid w:val="005973B9"/>
    <w:rPr>
      <w:rFonts w:ascii="Tw Cen MT" w:eastAsia="Tw Cen MT" w:hAnsi="Tw Cen MT" w:cs="Tw Cen MT"/>
      <w:sz w:val="18"/>
      <w:szCs w:val="18"/>
    </w:rPr>
  </w:style>
  <w:style w:type="character" w:styleId="Menzionenonrisolta">
    <w:name w:val="Unresolved Mention"/>
    <w:basedOn w:val="Carpredefinitoparagrafo"/>
    <w:uiPriority w:val="99"/>
    <w:semiHidden/>
    <w:unhideWhenUsed/>
    <w:rsid w:val="007A2D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virginiaveronicavisconti@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2</Pages>
  <Words>599</Words>
  <Characters>3415</Characters>
  <Application>Microsoft Office Word</Application>
  <DocSecurity>0</DocSecurity>
  <Lines>28</Lines>
  <Paragraphs>8</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virginia veronica visconti</cp:lastModifiedBy>
  <cp:revision>6</cp:revision>
  <dcterms:created xsi:type="dcterms:W3CDTF">2016-08-31T13:10:00Z</dcterms:created>
  <dcterms:modified xsi:type="dcterms:W3CDTF">2022-09-07T12:20:00Z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