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B8686" w14:textId="77777777" w:rsidR="004B4174" w:rsidRPr="00100C25" w:rsidRDefault="004B4174" w:rsidP="00100C25">
      <w:pPr>
        <w:pStyle w:val="Heading2"/>
        <w:jc w:val="both"/>
        <w:rPr>
          <w:b/>
          <w:bCs/>
          <w:color w:val="4F81BD" w:themeColor="accent1"/>
          <w:sz w:val="36"/>
          <w:szCs w:val="36"/>
          <w:lang w:bidi="ar-JO"/>
        </w:rPr>
      </w:pPr>
      <w:bookmarkStart w:id="0" w:name="_Hlk40792390"/>
      <w:r w:rsidRPr="00100C25">
        <w:rPr>
          <w:b/>
          <w:bCs/>
          <w:color w:val="4F81BD" w:themeColor="accent1"/>
          <w:sz w:val="36"/>
          <w:szCs w:val="36"/>
          <w:lang w:bidi="ar-JO"/>
        </w:rPr>
        <w:t xml:space="preserve">Transitioning Nursing Students’ Education from Traditional Classroom to Online Education During the COVID-19 Pandemic: A Case Study Applied to the </w:t>
      </w:r>
      <w:proofErr w:type="spellStart"/>
      <w:r w:rsidRPr="00100C25">
        <w:rPr>
          <w:b/>
          <w:bCs/>
          <w:color w:val="4F81BD" w:themeColor="accent1"/>
          <w:sz w:val="36"/>
          <w:szCs w:val="36"/>
          <w:lang w:bidi="ar-JO"/>
        </w:rPr>
        <w:t>Meleis</w:t>
      </w:r>
      <w:proofErr w:type="spellEnd"/>
      <w:r w:rsidRPr="00100C25">
        <w:rPr>
          <w:b/>
          <w:bCs/>
          <w:color w:val="4F81BD" w:themeColor="accent1"/>
          <w:sz w:val="36"/>
          <w:szCs w:val="36"/>
          <w:lang w:bidi="ar-JO"/>
        </w:rPr>
        <w:t xml:space="preserve"> Trial</w:t>
      </w:r>
    </w:p>
    <w:bookmarkEnd w:id="0"/>
    <w:p w14:paraId="46E55F6C" w14:textId="09D32AB4" w:rsidR="004B4174" w:rsidRPr="00100C25" w:rsidRDefault="0078738A" w:rsidP="004B4174">
      <w:pPr>
        <w:pStyle w:val="BodyText"/>
        <w:spacing w:before="73" w:line="198" w:lineRule="exact"/>
        <w:ind w:left="100" w:right="5987"/>
        <w:jc w:val="both"/>
        <w:rPr>
          <w:rFonts w:asciiTheme="minorBidi" w:hAnsiTheme="minorBidi" w:cstheme="minorBidi"/>
          <w:lang w:bidi="en-US"/>
        </w:rPr>
      </w:pPr>
      <w:r w:rsidRPr="00100C25">
        <w:rPr>
          <w:rFonts w:asciiTheme="minorBidi" w:hAnsiTheme="minorBidi" w:cstheme="minorBidi"/>
        </w:rPr>
        <w:t>Dr</w:t>
      </w:r>
      <w:r w:rsidR="004B4174" w:rsidRPr="00100C25">
        <w:rPr>
          <w:rFonts w:asciiTheme="minorBidi" w:hAnsiTheme="minorBidi" w:cstheme="minorBidi"/>
        </w:rPr>
        <w:t>.</w:t>
      </w:r>
      <w:r w:rsidRPr="00100C25">
        <w:rPr>
          <w:rFonts w:asciiTheme="minorBidi" w:hAnsiTheme="minorBidi" w:cstheme="minorBidi"/>
        </w:rPr>
        <w:t xml:space="preserve"> </w:t>
      </w:r>
      <w:r w:rsidR="004B4174" w:rsidRPr="00100C25">
        <w:rPr>
          <w:rFonts w:asciiTheme="minorBidi" w:hAnsiTheme="minorBidi" w:cstheme="minorBidi"/>
        </w:rPr>
        <w:t xml:space="preserve">Samar </w:t>
      </w:r>
      <w:proofErr w:type="spellStart"/>
      <w:r w:rsidR="004B4174" w:rsidRPr="00100C25">
        <w:rPr>
          <w:rFonts w:asciiTheme="minorBidi" w:hAnsiTheme="minorBidi" w:cstheme="minorBidi"/>
        </w:rPr>
        <w:t>Thabet</w:t>
      </w:r>
      <w:proofErr w:type="spellEnd"/>
      <w:r w:rsidR="004B4174" w:rsidRPr="00100C25">
        <w:rPr>
          <w:rFonts w:asciiTheme="minorBidi" w:hAnsiTheme="minorBidi" w:cstheme="minorBidi"/>
        </w:rPr>
        <w:t xml:space="preserve"> Jallad</w:t>
      </w:r>
      <w:r w:rsidR="005973B9" w:rsidRPr="00100C25">
        <w:rPr>
          <w:rFonts w:asciiTheme="minorBidi" w:hAnsiTheme="minorBidi" w:cstheme="minorBidi"/>
        </w:rPr>
        <w:t xml:space="preserve">, RN PhD, </w:t>
      </w:r>
      <w:r w:rsidR="004B4174" w:rsidRPr="00100C25">
        <w:rPr>
          <w:rFonts w:asciiTheme="minorBidi" w:hAnsiTheme="minorBidi" w:cstheme="minorBidi"/>
          <w:lang w:bidi="en-US"/>
        </w:rPr>
        <w:t>Department of Nursing, Near East University, Faculty of Health Sciences Institute, Nicosia, Cyprus.</w:t>
      </w:r>
    </w:p>
    <w:p w14:paraId="5A8535D0" w14:textId="0519E594" w:rsidR="004B4174" w:rsidRPr="00100C25" w:rsidRDefault="0078738A" w:rsidP="004B4174">
      <w:pPr>
        <w:pStyle w:val="BodyText"/>
        <w:spacing w:before="73" w:line="198" w:lineRule="exact"/>
        <w:ind w:left="100" w:right="5987"/>
        <w:jc w:val="both"/>
        <w:rPr>
          <w:rFonts w:asciiTheme="minorBidi" w:hAnsiTheme="minorBidi" w:cstheme="minorBidi"/>
        </w:rPr>
      </w:pPr>
      <w:r w:rsidRPr="00100C25">
        <w:rPr>
          <w:rFonts w:asciiTheme="minorBidi" w:hAnsiTheme="minorBidi" w:cstheme="minorBidi"/>
        </w:rPr>
        <w:t>Dr</w:t>
      </w:r>
      <w:r w:rsidR="004B4174" w:rsidRPr="00100C25">
        <w:rPr>
          <w:rFonts w:asciiTheme="minorBidi" w:hAnsiTheme="minorBidi" w:cstheme="minorBidi"/>
        </w:rPr>
        <w:t>.</w:t>
      </w:r>
      <w:r w:rsidRPr="00100C25">
        <w:rPr>
          <w:rFonts w:asciiTheme="minorBidi" w:hAnsiTheme="minorBidi" w:cstheme="minorBidi"/>
        </w:rPr>
        <w:t xml:space="preserve"> </w:t>
      </w:r>
      <w:r w:rsidR="004B4174" w:rsidRPr="00100C25">
        <w:rPr>
          <w:rFonts w:asciiTheme="minorBidi" w:hAnsiTheme="minorBidi" w:cstheme="minorBidi"/>
          <w:bCs/>
          <w:lang w:val="tr-TR"/>
        </w:rPr>
        <w:t>Burçin Işık</w:t>
      </w:r>
      <w:r w:rsidR="005973B9" w:rsidRPr="00100C25">
        <w:rPr>
          <w:rFonts w:asciiTheme="minorBidi" w:hAnsiTheme="minorBidi" w:cstheme="minorBidi"/>
        </w:rPr>
        <w:t>, RN PhD,</w:t>
      </w:r>
      <w:r w:rsidR="004B4174" w:rsidRPr="00100C25">
        <w:rPr>
          <w:rFonts w:asciiTheme="minorBidi" w:hAnsiTheme="minorBidi" w:cstheme="minorBidi"/>
        </w:rPr>
        <w:t xml:space="preserve"> Assistant Professor, </w:t>
      </w:r>
      <w:r w:rsidR="004B4174" w:rsidRPr="00100C25">
        <w:rPr>
          <w:rFonts w:asciiTheme="minorBidi" w:hAnsiTheme="minorBidi" w:cstheme="minorBidi"/>
          <w:bCs/>
          <w:lang w:val="en-GB"/>
        </w:rPr>
        <w:t xml:space="preserve">Department </w:t>
      </w:r>
      <w:r w:rsidR="004B4174" w:rsidRPr="00100C25">
        <w:rPr>
          <w:rFonts w:asciiTheme="minorBidi" w:hAnsiTheme="minorBidi" w:cstheme="minorBidi"/>
        </w:rPr>
        <w:t xml:space="preserve">of </w:t>
      </w:r>
      <w:r w:rsidR="004B4174" w:rsidRPr="00100C25">
        <w:rPr>
          <w:rFonts w:asciiTheme="minorBidi" w:hAnsiTheme="minorBidi" w:cstheme="minorBidi"/>
          <w:bCs/>
          <w:lang w:val="en-GB"/>
        </w:rPr>
        <w:t>Nursing,</w:t>
      </w:r>
      <w:r w:rsidR="004B4174" w:rsidRPr="00100C25">
        <w:rPr>
          <w:rFonts w:asciiTheme="minorBidi" w:hAnsiTheme="minorBidi" w:cstheme="minorBidi"/>
          <w:lang w:val="en-GB"/>
        </w:rPr>
        <w:t xml:space="preserve"> Gaziantep Islam Science </w:t>
      </w:r>
      <w:r w:rsidR="004B4174" w:rsidRPr="00100C25">
        <w:rPr>
          <w:rFonts w:asciiTheme="minorBidi" w:hAnsiTheme="minorBidi" w:cstheme="minorBidi"/>
          <w:bCs/>
          <w:lang w:val="en-GB"/>
        </w:rPr>
        <w:t xml:space="preserve">and Technology University, Faculty of Health Sciences, </w:t>
      </w:r>
      <w:r w:rsidR="004B4174" w:rsidRPr="00100C25">
        <w:rPr>
          <w:rFonts w:asciiTheme="minorBidi" w:hAnsiTheme="minorBidi" w:cstheme="minorBidi"/>
        </w:rPr>
        <w:t>Gaziantep, Turkey</w:t>
      </w:r>
    </w:p>
    <w:p w14:paraId="79CDC7B6" w14:textId="759E71EB" w:rsidR="005973B9" w:rsidRPr="00100C25" w:rsidRDefault="005973B9" w:rsidP="004B4174">
      <w:pPr>
        <w:pStyle w:val="BodyText"/>
        <w:spacing w:before="73" w:line="198" w:lineRule="exact"/>
        <w:ind w:left="100" w:right="5987"/>
        <w:rPr>
          <w:rFonts w:asciiTheme="minorBidi" w:hAnsiTheme="minorBidi" w:cstheme="minorBidi"/>
        </w:rPr>
      </w:pPr>
    </w:p>
    <w:p w14:paraId="79B1FFD7" w14:textId="0D3F10A8"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B0E533" w14:textId="6892A0EC" w:rsidR="00AE3E37" w:rsidRDefault="00A9710C" w:rsidP="004B4174">
      <w:pPr>
        <w:pStyle w:val="Heading3"/>
        <w:spacing w:before="147"/>
        <w:jc w:val="both"/>
      </w:pPr>
      <w:r>
        <w:rPr>
          <w:color w:val="BF5A14"/>
        </w:rPr>
        <w:lastRenderedPageBreak/>
        <w:t>Abstract</w:t>
      </w:r>
      <w:r w:rsidR="00404E5B">
        <w:rPr>
          <w:color w:val="BF5A14"/>
        </w:rPr>
        <w:t xml:space="preserve"> </w:t>
      </w:r>
    </w:p>
    <w:p w14:paraId="15DC8A58" w14:textId="1224D44A" w:rsidR="00AE3E37" w:rsidRDefault="0069357C" w:rsidP="0069357C">
      <w:pPr>
        <w:pStyle w:val="Heading3"/>
        <w:spacing w:before="74"/>
        <w:jc w:val="both"/>
        <w:rPr>
          <w:color w:val="BF5A14"/>
        </w:rPr>
      </w:pPr>
      <w:r w:rsidRPr="0069357C">
        <w:rPr>
          <w:rFonts w:ascii="Tw Cen MT" w:eastAsia="Tw Cen MT" w:hAnsi="Tw Cen MT" w:cs="Tw Cen MT"/>
          <w:b w:val="0"/>
          <w:bCs w:val="0"/>
          <w:sz w:val="18"/>
          <w:szCs w:val="18"/>
        </w:rPr>
        <w:t>Theories can be used to determine the factors that affect a situation and the most appropriate ways to reach a goal. The coronavirus disease 2019 pandemic has deeply affected nursing education in which had considered a critical factor in the transition of teaching methods that is being and will be experienced</w:t>
      </w:r>
      <w:r w:rsidRPr="0069357C">
        <w:t xml:space="preserve"> </w:t>
      </w:r>
      <w:r w:rsidRPr="0069357C">
        <w:rPr>
          <w:rFonts w:ascii="Tw Cen MT" w:eastAsia="Tw Cen MT" w:hAnsi="Tw Cen MT" w:cs="Tw Cen MT"/>
          <w:b w:val="0"/>
          <w:bCs w:val="0"/>
          <w:sz w:val="18"/>
          <w:szCs w:val="18"/>
        </w:rPr>
        <w:t>today and in the future in nursing education. Transition is a process of changing from a known to an unknown state. Personal, community, and social factors can facilitate or prevent a transition. In this study, nursing education as well as nursing students and educators are at the center of these changes and transitions to online learning, which is an institutional (organizational) type of transition. Nursing students understand the level of awareness of an individual, responsibilities that they need to take, changes to be experienced, beginning and expected end time of the transition, critical turning points and important points, impact of the change on daily life, stages of the individual, and reactions during different stages of this process. This article discusses the transition process of a 21-year-old nursing student (initials: MN) from the traditional classroom to online education and the factors affecting this process. The transition from the traditional classroom to online education was facilitated by appropriate nursing interventions and follow-up to a nursing student experiencing transition, and preventive factors were controlled by support systems.</w:t>
      </w:r>
      <w:r w:rsidR="00A9710C">
        <w:rPr>
          <w:b w:val="0"/>
        </w:rPr>
        <w:br w:type="column"/>
      </w:r>
      <w:r w:rsidR="00A9710C">
        <w:rPr>
          <w:color w:val="BF5A14"/>
        </w:rPr>
        <w:lastRenderedPageBreak/>
        <w:t>Image</w:t>
      </w:r>
    </w:p>
    <w:p w14:paraId="3C8F801B" w14:textId="73D8F0E3" w:rsidR="005973B9" w:rsidRPr="00100C25" w:rsidRDefault="008E3A22" w:rsidP="00100C25">
      <w:pPr>
        <w:pStyle w:val="Heading3"/>
        <w:spacing w:before="74"/>
        <w:jc w:val="both"/>
      </w:pPr>
      <w:r w:rsidRPr="008E3A22">
        <w:rPr>
          <w:noProof/>
          <w:lang w:val="en-GB" w:eastAsia="en-GB"/>
        </w:rPr>
        <w:drawing>
          <wp:inline distT="0" distB="0" distL="0" distR="0" wp14:anchorId="4D5A04F2" wp14:editId="14F2DBBF">
            <wp:extent cx="3400425" cy="18376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00425" cy="1837690"/>
                    </a:xfrm>
                    <a:prstGeom prst="rect">
                      <a:avLst/>
                    </a:prstGeom>
                  </pic:spPr>
                </pic:pic>
              </a:graphicData>
            </a:graphic>
          </wp:inline>
        </w:drawing>
      </w:r>
      <w:r w:rsidR="005973B9">
        <w:rPr>
          <w:color w:val="BF5A14"/>
        </w:rPr>
        <w:br/>
        <w:t xml:space="preserve">Recent Publications </w:t>
      </w:r>
    </w:p>
    <w:p w14:paraId="63605216" w14:textId="04A55900" w:rsidR="004B4174"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American Association of Colleges of Nursing (2020). Coronavirus Disease (COVID-19). </w:t>
      </w:r>
      <w:hyperlink r:id="rId10" w:history="1">
        <w:r w:rsidRPr="00100C25">
          <w:rPr>
            <w:rStyle w:val="Hyperlink"/>
            <w:sz w:val="18"/>
            <w:szCs w:val="18"/>
          </w:rPr>
          <w:t>https://www.nursingworld.org/practice-policy/work-environment/health-safety/disasterpreparedness/coronavirus/</w:t>
        </w:r>
      </w:hyperlink>
    </w:p>
    <w:p w14:paraId="4188A160" w14:textId="77777777" w:rsidR="004B4174" w:rsidRPr="00100C25" w:rsidRDefault="004B4174" w:rsidP="004B4174">
      <w:pPr>
        <w:pStyle w:val="ListParagraph"/>
        <w:numPr>
          <w:ilvl w:val="0"/>
          <w:numId w:val="3"/>
        </w:numPr>
        <w:tabs>
          <w:tab w:val="left" w:pos="384"/>
        </w:tabs>
        <w:spacing w:line="216" w:lineRule="exact"/>
        <w:ind w:right="137"/>
        <w:rPr>
          <w:sz w:val="18"/>
          <w:szCs w:val="18"/>
        </w:rPr>
      </w:pPr>
      <w:proofErr w:type="spellStart"/>
      <w:r w:rsidRPr="00100C25">
        <w:rPr>
          <w:sz w:val="18"/>
          <w:szCs w:val="18"/>
        </w:rPr>
        <w:t>Bergstrand</w:t>
      </w:r>
      <w:proofErr w:type="spellEnd"/>
      <w:r w:rsidRPr="00100C25">
        <w:rPr>
          <w:sz w:val="18"/>
          <w:szCs w:val="18"/>
        </w:rPr>
        <w:t xml:space="preserve">, K., &amp; Savage, S. V. (2013). The chalkboard versus the avatar: Comparing the effectiveness of online and in-class courses. Teaching Sociology, 41(3), 294-306. </w:t>
      </w:r>
    </w:p>
    <w:p w14:paraId="31A3BA51" w14:textId="77777777" w:rsidR="004B4174" w:rsidRPr="00100C25" w:rsidRDefault="004B4174" w:rsidP="004B4174">
      <w:pPr>
        <w:pStyle w:val="ListParagraph"/>
        <w:numPr>
          <w:ilvl w:val="0"/>
          <w:numId w:val="3"/>
        </w:numPr>
        <w:tabs>
          <w:tab w:val="left" w:pos="384"/>
        </w:tabs>
        <w:spacing w:line="216" w:lineRule="exact"/>
        <w:ind w:right="137"/>
        <w:rPr>
          <w:sz w:val="18"/>
          <w:szCs w:val="18"/>
        </w:rPr>
      </w:pPr>
      <w:proofErr w:type="spellStart"/>
      <w:r w:rsidRPr="00100C25">
        <w:rPr>
          <w:sz w:val="18"/>
          <w:szCs w:val="18"/>
        </w:rPr>
        <w:t>Bodur</w:t>
      </w:r>
      <w:proofErr w:type="spellEnd"/>
      <w:r w:rsidRPr="00100C25">
        <w:rPr>
          <w:sz w:val="18"/>
          <w:szCs w:val="18"/>
        </w:rPr>
        <w:t xml:space="preserve">, G., &amp; Kaya, H. (2017). HEMŞİRELERİN GÖZÜYLE GELECEK: 2050’Lİ YILLAR. </w:t>
      </w:r>
      <w:proofErr w:type="spellStart"/>
      <w:r w:rsidRPr="00100C25">
        <w:rPr>
          <w:sz w:val="18"/>
          <w:szCs w:val="18"/>
        </w:rPr>
        <w:t>Ege</w:t>
      </w:r>
      <w:proofErr w:type="spellEnd"/>
      <w:r w:rsidRPr="00100C25">
        <w:rPr>
          <w:sz w:val="18"/>
          <w:szCs w:val="18"/>
        </w:rPr>
        <w:t xml:space="preserve"> </w:t>
      </w:r>
      <w:proofErr w:type="spellStart"/>
      <w:r w:rsidRPr="00100C25">
        <w:rPr>
          <w:sz w:val="18"/>
          <w:szCs w:val="18"/>
        </w:rPr>
        <w:t>Üniversitesi</w:t>
      </w:r>
      <w:proofErr w:type="spellEnd"/>
      <w:r w:rsidRPr="00100C25">
        <w:rPr>
          <w:sz w:val="18"/>
          <w:szCs w:val="18"/>
        </w:rPr>
        <w:t xml:space="preserve"> </w:t>
      </w:r>
      <w:proofErr w:type="spellStart"/>
      <w:r w:rsidRPr="00100C25">
        <w:rPr>
          <w:sz w:val="18"/>
          <w:szCs w:val="18"/>
        </w:rPr>
        <w:t>Hemşirelik</w:t>
      </w:r>
      <w:proofErr w:type="spellEnd"/>
      <w:r w:rsidRPr="00100C25">
        <w:rPr>
          <w:sz w:val="18"/>
          <w:szCs w:val="18"/>
        </w:rPr>
        <w:t xml:space="preserve"> </w:t>
      </w:r>
      <w:proofErr w:type="spellStart"/>
      <w:r w:rsidRPr="00100C25">
        <w:rPr>
          <w:sz w:val="18"/>
          <w:szCs w:val="18"/>
        </w:rPr>
        <w:t>Fakültesi</w:t>
      </w:r>
      <w:proofErr w:type="spellEnd"/>
      <w:r w:rsidRPr="00100C25">
        <w:rPr>
          <w:sz w:val="18"/>
          <w:szCs w:val="18"/>
        </w:rPr>
        <w:t xml:space="preserve"> </w:t>
      </w:r>
      <w:proofErr w:type="spellStart"/>
      <w:r w:rsidRPr="00100C25">
        <w:rPr>
          <w:sz w:val="18"/>
          <w:szCs w:val="18"/>
        </w:rPr>
        <w:t>Dergisi</w:t>
      </w:r>
      <w:proofErr w:type="spellEnd"/>
      <w:r w:rsidRPr="00100C25">
        <w:rPr>
          <w:sz w:val="18"/>
          <w:szCs w:val="18"/>
        </w:rPr>
        <w:t xml:space="preserve">, 33(1), 47-58. </w:t>
      </w:r>
    </w:p>
    <w:p w14:paraId="6E6CFA41" w14:textId="7D8F955A" w:rsidR="005973B9"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Institute of Medicine (2011). Committee on the Robert Wood Johnson Foundation Initiative on the Future of Nursing. National Academies Press Washington, DC. </w:t>
      </w:r>
      <w:hyperlink r:id="rId11" w:history="1">
        <w:r w:rsidRPr="00100C25">
          <w:rPr>
            <w:rStyle w:val="Hyperlink"/>
            <w:sz w:val="18"/>
            <w:szCs w:val="18"/>
          </w:rPr>
          <w:t>https://doi.org/http://10.17226/12956</w:t>
        </w:r>
      </w:hyperlink>
    </w:p>
    <w:p w14:paraId="2F6D6697" w14:textId="77777777" w:rsidR="004B4174" w:rsidRPr="00100C25" w:rsidRDefault="004B4174" w:rsidP="004B4174">
      <w:pPr>
        <w:pStyle w:val="ListParagraph"/>
        <w:numPr>
          <w:ilvl w:val="0"/>
          <w:numId w:val="3"/>
        </w:numPr>
        <w:tabs>
          <w:tab w:val="left" w:pos="384"/>
        </w:tabs>
        <w:spacing w:line="216" w:lineRule="exact"/>
        <w:ind w:right="137"/>
        <w:rPr>
          <w:sz w:val="18"/>
          <w:szCs w:val="18"/>
        </w:rPr>
      </w:pPr>
      <w:proofErr w:type="spellStart"/>
      <w:r w:rsidRPr="00100C25">
        <w:rPr>
          <w:sz w:val="18"/>
          <w:szCs w:val="18"/>
        </w:rPr>
        <w:t>Meleis</w:t>
      </w:r>
      <w:proofErr w:type="spellEnd"/>
      <w:r w:rsidRPr="00100C25">
        <w:rPr>
          <w:sz w:val="18"/>
          <w:szCs w:val="18"/>
        </w:rPr>
        <w:t xml:space="preserve">. (2019). Facilitating and Managing Transitions: An Imperative for Quality Care. </w:t>
      </w:r>
      <w:proofErr w:type="spellStart"/>
      <w:r w:rsidRPr="00100C25">
        <w:rPr>
          <w:sz w:val="18"/>
          <w:szCs w:val="18"/>
        </w:rPr>
        <w:t>Investigación</w:t>
      </w:r>
      <w:proofErr w:type="spellEnd"/>
      <w:r w:rsidRPr="00100C25">
        <w:rPr>
          <w:sz w:val="18"/>
          <w:szCs w:val="18"/>
        </w:rPr>
        <w:t xml:space="preserve"> </w:t>
      </w:r>
      <w:proofErr w:type="spellStart"/>
      <w:r w:rsidRPr="00100C25">
        <w:rPr>
          <w:sz w:val="18"/>
          <w:szCs w:val="18"/>
        </w:rPr>
        <w:t>en</w:t>
      </w:r>
      <w:proofErr w:type="spellEnd"/>
      <w:r w:rsidRPr="00100C25">
        <w:rPr>
          <w:sz w:val="18"/>
          <w:szCs w:val="18"/>
        </w:rPr>
        <w:t xml:space="preserve"> </w:t>
      </w:r>
      <w:proofErr w:type="spellStart"/>
      <w:r w:rsidRPr="00100C25">
        <w:rPr>
          <w:sz w:val="18"/>
          <w:szCs w:val="18"/>
        </w:rPr>
        <w:t>Enfermería</w:t>
      </w:r>
      <w:proofErr w:type="spellEnd"/>
      <w:r w:rsidRPr="00100C25">
        <w:rPr>
          <w:sz w:val="18"/>
          <w:szCs w:val="18"/>
        </w:rPr>
        <w:t xml:space="preserve">: </w:t>
      </w:r>
      <w:proofErr w:type="spellStart"/>
      <w:r w:rsidRPr="00100C25">
        <w:rPr>
          <w:sz w:val="18"/>
          <w:szCs w:val="18"/>
        </w:rPr>
        <w:t>Imagen</w:t>
      </w:r>
      <w:proofErr w:type="spellEnd"/>
      <w:r w:rsidRPr="00100C25">
        <w:rPr>
          <w:sz w:val="18"/>
          <w:szCs w:val="18"/>
        </w:rPr>
        <w:t xml:space="preserve"> y </w:t>
      </w:r>
      <w:proofErr w:type="spellStart"/>
      <w:r w:rsidRPr="00100C25">
        <w:rPr>
          <w:sz w:val="18"/>
          <w:szCs w:val="18"/>
        </w:rPr>
        <w:t>Desarrollo</w:t>
      </w:r>
      <w:proofErr w:type="spellEnd"/>
      <w:r w:rsidRPr="00100C25">
        <w:rPr>
          <w:sz w:val="18"/>
          <w:szCs w:val="18"/>
        </w:rPr>
        <w:t xml:space="preserve">, 21(1). </w:t>
      </w:r>
    </w:p>
    <w:p w14:paraId="7C211D13" w14:textId="6204BF74" w:rsidR="004B4174"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National League for Nursing (2016). Discover </w:t>
      </w:r>
      <w:proofErr w:type="spellStart"/>
      <w:r w:rsidRPr="00100C25">
        <w:rPr>
          <w:sz w:val="18"/>
          <w:szCs w:val="18"/>
        </w:rPr>
        <w:t>vSim</w:t>
      </w:r>
      <w:proofErr w:type="spellEnd"/>
      <w:r w:rsidRPr="00100C25">
        <w:rPr>
          <w:sz w:val="18"/>
          <w:szCs w:val="18"/>
        </w:rPr>
        <w:t xml:space="preserve"> for Nursing. </w:t>
      </w:r>
      <w:hyperlink r:id="rId12" w:history="1">
        <w:r w:rsidRPr="00100C25">
          <w:rPr>
            <w:rStyle w:val="Hyperlink"/>
            <w:sz w:val="18"/>
            <w:szCs w:val="18"/>
          </w:rPr>
          <w:t>http://thepoint.lww.com/Template/RenderTemplateByInstanceId/14</w:t>
        </w:r>
      </w:hyperlink>
    </w:p>
    <w:p w14:paraId="54C1B8B3" w14:textId="219EE347" w:rsidR="004B4174"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Smith, G. G., </w:t>
      </w:r>
      <w:proofErr w:type="spellStart"/>
      <w:r w:rsidRPr="00100C25">
        <w:rPr>
          <w:sz w:val="18"/>
          <w:szCs w:val="18"/>
        </w:rPr>
        <w:t>Passmore</w:t>
      </w:r>
      <w:proofErr w:type="spellEnd"/>
      <w:r w:rsidRPr="00100C25">
        <w:rPr>
          <w:sz w:val="18"/>
          <w:szCs w:val="18"/>
        </w:rPr>
        <w:t xml:space="preserve">, D., &amp; </w:t>
      </w:r>
      <w:proofErr w:type="spellStart"/>
      <w:r w:rsidRPr="00100C25">
        <w:rPr>
          <w:sz w:val="18"/>
          <w:szCs w:val="18"/>
        </w:rPr>
        <w:t>Faught</w:t>
      </w:r>
      <w:proofErr w:type="spellEnd"/>
      <w:r w:rsidRPr="00100C25">
        <w:rPr>
          <w:sz w:val="18"/>
          <w:szCs w:val="18"/>
        </w:rPr>
        <w:t xml:space="preserve">, T. (2009). The challenges of online nursing education. The Internet and Higher Education, 12(2), 98-103. </w:t>
      </w:r>
    </w:p>
    <w:p w14:paraId="26D78E29" w14:textId="77777777" w:rsidR="004B4174"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Wicks, D. J. (2016). Emerging theories and online learning environments for adults. Theories of Educational Technology. https://sites.google.com/a/boisestate.edu/edtechtheories/emerging-theories-and-onlinelearning-environments-for-adults-1 </w:t>
      </w:r>
    </w:p>
    <w:p w14:paraId="7E2E4C8E" w14:textId="05EB4CDF" w:rsidR="004B4174" w:rsidRPr="00100C25" w:rsidRDefault="004B4174" w:rsidP="004B4174">
      <w:pPr>
        <w:pStyle w:val="ListParagraph"/>
        <w:numPr>
          <w:ilvl w:val="0"/>
          <w:numId w:val="3"/>
        </w:numPr>
        <w:tabs>
          <w:tab w:val="left" w:pos="384"/>
        </w:tabs>
        <w:spacing w:line="216" w:lineRule="exact"/>
        <w:ind w:right="137"/>
        <w:rPr>
          <w:sz w:val="18"/>
          <w:szCs w:val="18"/>
        </w:rPr>
      </w:pPr>
      <w:r w:rsidRPr="00100C25">
        <w:rPr>
          <w:sz w:val="18"/>
          <w:szCs w:val="18"/>
        </w:rPr>
        <w:t xml:space="preserve">World Health organization (2020). "World Health Organization" Preparedness, prevention and control of coronavirus disease (COVID-19) for refugees and migrants in non-camp settings: interim guidance. 17 April 2020. </w:t>
      </w:r>
      <w:hyperlink r:id="rId13" w:history="1">
        <w:r w:rsidRPr="00100C25">
          <w:rPr>
            <w:rStyle w:val="Hyperlink"/>
            <w:sz w:val="18"/>
            <w:szCs w:val="18"/>
          </w:rPr>
          <w:t>https://apps.who.int/iris/bitstream/handle/10665/331777/WHO-2019-nCoV Refugees_Migrants-2020.1-eng.pdf</w:t>
        </w:r>
      </w:hyperlink>
    </w:p>
    <w:p w14:paraId="1C0BFF3C" w14:textId="210AF80F"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34B7120"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503F814F"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16C91592" w:rsidR="00AE3E37" w:rsidRDefault="008756E6" w:rsidP="00816316">
      <w:pPr>
        <w:spacing w:before="92"/>
        <w:ind w:right="4234"/>
        <w:rPr>
          <w:rFonts w:ascii="Arial"/>
          <w:color w:val="BF5A14"/>
        </w:rPr>
      </w:pPr>
      <w:r>
        <w:rPr>
          <w:noProof/>
        </w:rPr>
        <w:t xml:space="preserve">              </w:t>
      </w:r>
      <w:r w:rsidR="00DB2880">
        <w:rPr>
          <w:noProof/>
          <w:lang w:val="en-GB" w:eastAsia="en-GB"/>
        </w:rPr>
        <w:drawing>
          <wp:inline distT="0" distB="0" distL="0" distR="0" wp14:anchorId="24E49017" wp14:editId="7C759A13">
            <wp:extent cx="635779"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335" cy="767461"/>
                    </a:xfrm>
                    <a:prstGeom prst="rect">
                      <a:avLst/>
                    </a:prstGeom>
                    <a:noFill/>
                  </pic:spPr>
                </pic:pic>
              </a:graphicData>
            </a:graphic>
          </wp:inline>
        </w:drawing>
      </w:r>
      <w:r w:rsidR="00816316">
        <w:rPr>
          <w:noProof/>
        </w:rPr>
        <w:t xml:space="preserve"> </w:t>
      </w:r>
      <w:r w:rsidR="00A9710C">
        <w:rPr>
          <w:rFonts w:ascii="Arial"/>
          <w:color w:val="BF5A14"/>
        </w:rPr>
        <w:t>Biography</w:t>
      </w:r>
      <w:r w:rsidR="00404E5B">
        <w:rPr>
          <w:rFonts w:ascii="Arial"/>
          <w:color w:val="BF5A14"/>
        </w:rPr>
        <w:t xml:space="preserve"> </w:t>
      </w:r>
    </w:p>
    <w:p w14:paraId="48C89040" w14:textId="0101AA19" w:rsidR="00816316" w:rsidRDefault="000F09BA" w:rsidP="000F09BA">
      <w:pPr>
        <w:spacing w:before="41" w:line="154" w:lineRule="exact"/>
        <w:ind w:left="213" w:right="231"/>
        <w:jc w:val="both"/>
        <w:rPr>
          <w:rFonts w:ascii="Arial"/>
          <w:sz w:val="14"/>
        </w:rPr>
      </w:pPr>
      <w:r w:rsidRPr="000F09BA">
        <w:rPr>
          <w:rFonts w:ascii="Arial"/>
          <w:sz w:val="14"/>
        </w:rPr>
        <w:t xml:space="preserve">Samar </w:t>
      </w:r>
      <w:proofErr w:type="spellStart"/>
      <w:r w:rsidRPr="000F09BA">
        <w:rPr>
          <w:rFonts w:ascii="Arial"/>
          <w:sz w:val="14"/>
        </w:rPr>
        <w:t>Thabet</w:t>
      </w:r>
      <w:proofErr w:type="spellEnd"/>
      <w:r w:rsidRPr="000F09BA">
        <w:rPr>
          <w:rFonts w:ascii="Arial"/>
          <w:sz w:val="14"/>
        </w:rPr>
        <w:t xml:space="preserve"> Jallad is a Palestinian Ph.D. at Near East University, and a lecturer at Cyprus International University/Cyprus, has her field in nursing education that related to developing nursing curriculum, and improving learning strategies/methods that related to various skills like critical thinking and problem-solving facing nursing students in a practice field. And also, she is a specialist in her study for Virtual Reality Simulation (VRS) that effective as a learning/teaching strategy of acquisition skills in nursing education, which help to improve performance, increase satisfaction, and reduce anxiety among nursing students. On the other hand, she had a Master's degree in management of nursing, which assisted her to be effective in issues relating to organization and administration encountering nursing student</w:t>
      </w:r>
      <w:r>
        <w:rPr>
          <w:rFonts w:ascii="Arial"/>
          <w:sz w:val="14"/>
        </w:rPr>
        <w:t>s and departments in faculties.</w:t>
      </w:r>
    </w:p>
    <w:p w14:paraId="63602AE8" w14:textId="6B596E82" w:rsidR="00AE3E37" w:rsidRDefault="00A9710C" w:rsidP="00B76E75">
      <w:pPr>
        <w:spacing w:before="62"/>
        <w:ind w:left="4217" w:right="4235"/>
        <w:jc w:val="center"/>
        <w:rPr>
          <w:rFonts w:ascii="Arial"/>
          <w:sz w:val="14"/>
        </w:rPr>
      </w:pPr>
      <w:r w:rsidRPr="00573C18">
        <w:rPr>
          <w:rFonts w:ascii="Arial"/>
          <w:sz w:val="14"/>
        </w:rPr>
        <w:t xml:space="preserve">Email: </w:t>
      </w:r>
      <w:hyperlink r:id="rId15" w:history="1">
        <w:r w:rsidR="00B76E75" w:rsidRPr="00573C18">
          <w:rPr>
            <w:rStyle w:val="Hyperlink"/>
            <w:rFonts w:ascii="Arial"/>
            <w:sz w:val="14"/>
          </w:rPr>
          <w:t>sammar1986@live.com</w:t>
        </w:r>
      </w:hyperlink>
      <w:bookmarkStart w:id="1" w:name="_GoBack"/>
      <w:bookmarkEnd w:id="1"/>
    </w:p>
    <w:p w14:paraId="7B5B00C9"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3A1E8C" w14:textId="77777777" w:rsidR="00AE3E37" w:rsidRDefault="00AE3E37">
      <w:pPr>
        <w:pStyle w:val="BodyText"/>
        <w:rPr>
          <w:rFonts w:ascii="Arial"/>
          <w:sz w:val="20"/>
        </w:rPr>
      </w:pPr>
    </w:p>
    <w:p w14:paraId="69B2C0B1" w14:textId="77777777" w:rsidR="00AE3E37" w:rsidRDefault="00AE3E37">
      <w:pPr>
        <w:pStyle w:val="BodyText"/>
        <w:rPr>
          <w:rFonts w:ascii="Arial"/>
          <w:sz w:val="20"/>
        </w:rPr>
      </w:pPr>
    </w:p>
    <w:p w14:paraId="09972C6F" w14:textId="77777777" w:rsidR="00AE3E37" w:rsidRDefault="00AE3E37">
      <w:pPr>
        <w:pStyle w:val="BodyText"/>
        <w:spacing w:before="7"/>
        <w:rPr>
          <w:rFonts w:ascii="Arial"/>
          <w:sz w:val="29"/>
        </w:rPr>
      </w:pPr>
    </w:p>
    <w:p w14:paraId="0790418B" w14:textId="77777777" w:rsidR="00AE3E37" w:rsidRPr="00B21A57" w:rsidRDefault="00A9710C">
      <w:pPr>
        <w:spacing w:before="39"/>
        <w:ind w:left="100"/>
        <w:rPr>
          <w:rFonts w:ascii="Minion Pro"/>
          <w:b/>
          <w:sz w:val="20"/>
        </w:rPr>
      </w:pPr>
      <w:r w:rsidRPr="00B21A57">
        <w:rPr>
          <w:rFonts w:ascii="Minion Pro"/>
          <w:b/>
          <w:sz w:val="20"/>
        </w:rPr>
        <w:t>Notes/Comments:</w:t>
      </w:r>
    </w:p>
    <w:p w14:paraId="442F333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CC5D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21A25" w14:textId="77777777" w:rsidR="00935F68" w:rsidRDefault="00935F68">
      <w:r>
        <w:separator/>
      </w:r>
    </w:p>
  </w:endnote>
  <w:endnote w:type="continuationSeparator" w:id="0">
    <w:p w14:paraId="69EC25A4" w14:textId="77777777" w:rsidR="00935F68" w:rsidRDefault="0093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D8F4" w14:textId="58932FA5"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14:anchorId="657D7A8F" wp14:editId="2197A0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D7A8F"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514C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BCFCA" w14:textId="77777777" w:rsidR="00935F68" w:rsidRDefault="00935F68">
      <w:r>
        <w:separator/>
      </w:r>
    </w:p>
  </w:footnote>
  <w:footnote w:type="continuationSeparator" w:id="0">
    <w:p w14:paraId="60A5FF01" w14:textId="77777777" w:rsidR="00935F68" w:rsidRDefault="00935F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53DC5" w14:textId="4676C6AE"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14:anchorId="568EDE7D" wp14:editId="55B0EA7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EDE7D"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4A91"/>
    <w:rsid w:val="000E2911"/>
    <w:rsid w:val="000F09BA"/>
    <w:rsid w:val="00100C25"/>
    <w:rsid w:val="001263DF"/>
    <w:rsid w:val="001C328A"/>
    <w:rsid w:val="001E763C"/>
    <w:rsid w:val="002628FD"/>
    <w:rsid w:val="00292ED9"/>
    <w:rsid w:val="00314AFB"/>
    <w:rsid w:val="003A23AF"/>
    <w:rsid w:val="003B76D9"/>
    <w:rsid w:val="00404E5B"/>
    <w:rsid w:val="00414F7B"/>
    <w:rsid w:val="004355DC"/>
    <w:rsid w:val="004749B4"/>
    <w:rsid w:val="00494130"/>
    <w:rsid w:val="004B4174"/>
    <w:rsid w:val="004F3523"/>
    <w:rsid w:val="00573C18"/>
    <w:rsid w:val="005973B9"/>
    <w:rsid w:val="005B3A56"/>
    <w:rsid w:val="006060CE"/>
    <w:rsid w:val="0063497F"/>
    <w:rsid w:val="0069357C"/>
    <w:rsid w:val="0078738A"/>
    <w:rsid w:val="00816316"/>
    <w:rsid w:val="00873DF0"/>
    <w:rsid w:val="008756E6"/>
    <w:rsid w:val="008E3A22"/>
    <w:rsid w:val="00935F68"/>
    <w:rsid w:val="009B2D44"/>
    <w:rsid w:val="009B6D1E"/>
    <w:rsid w:val="00A030A6"/>
    <w:rsid w:val="00A07E82"/>
    <w:rsid w:val="00A9710C"/>
    <w:rsid w:val="00AE3E37"/>
    <w:rsid w:val="00B21A57"/>
    <w:rsid w:val="00B76E75"/>
    <w:rsid w:val="00BD79B1"/>
    <w:rsid w:val="00C33602"/>
    <w:rsid w:val="00C479F6"/>
    <w:rsid w:val="00CD6F55"/>
    <w:rsid w:val="00D62425"/>
    <w:rsid w:val="00DB2880"/>
    <w:rsid w:val="00DE3104"/>
    <w:rsid w:val="00F5355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15:docId w15:val="{A6EC76B8-69EC-46C0-870C-788100B5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pps.who.int/iris/bitstream/handle/10665/331777/WHO-2019-nCoV%20Refugees_Migrants-2020.1-eng.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thepoint.lww.com/Template/RenderTemplateByInstanceId/1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http://10.17226/12956" TargetMode="External"/><Relationship Id="rId5" Type="http://schemas.openxmlformats.org/officeDocument/2006/relationships/footnotes" Target="footnotes.xml"/><Relationship Id="rId15" Type="http://schemas.openxmlformats.org/officeDocument/2006/relationships/hyperlink" Target="mailto:sammar1986@live.com" TargetMode="External"/><Relationship Id="rId10" Type="http://schemas.openxmlformats.org/officeDocument/2006/relationships/hyperlink" Target="https://www.nursingworld.org/practice-policy/work-environment/health-safety/disasterpreparedness/coronavirus/"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Samar Jallad</cp:lastModifiedBy>
  <cp:revision>12</cp:revision>
  <dcterms:created xsi:type="dcterms:W3CDTF">2021-04-06T13:38:00Z</dcterms:created>
  <dcterms:modified xsi:type="dcterms:W3CDTF">2021-04-06T20:34:00Z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