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874EFC" w14:textId="77777777" w:rsidR="00250C56" w:rsidRPr="00250C56" w:rsidRDefault="00250C56" w:rsidP="00494130">
      <w:pPr>
        <w:pStyle w:val="Heading1"/>
        <w:spacing w:before="170"/>
        <w:ind w:left="0"/>
        <w:rPr>
          <w:color w:val="337AB7"/>
        </w:rPr>
      </w:pPr>
      <w:bookmarkStart w:id="0" w:name="_GoBack"/>
      <w:bookmarkEnd w:id="0"/>
      <w:r>
        <w:rPr>
          <w:color w:val="337AB7"/>
        </w:rPr>
        <w:t>A Critical Explanation of Patient Involvement in the Assessment of Nursing Students’ Practice</w:t>
      </w:r>
    </w:p>
    <w:p w14:paraId="74EDD81C" w14:textId="77777777" w:rsidR="0078738A" w:rsidRDefault="00250C56"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Nickey Rooke</w:t>
      </w:r>
      <w:r w:rsidR="005973B9">
        <w:rPr>
          <w:rFonts w:ascii="Arial"/>
        </w:rPr>
        <w:t xml:space="preserve">, RN PhD, </w:t>
      </w:r>
      <w:r>
        <w:rPr>
          <w:rFonts w:ascii="Arial"/>
        </w:rPr>
        <w:t>University of East Anglia, UK</w:t>
      </w:r>
    </w:p>
    <w:p w14:paraId="63889DB6" w14:textId="77777777" w:rsidR="00AE3E37" w:rsidRDefault="00AE3E37">
      <w:pPr>
        <w:pStyle w:val="BodyText"/>
        <w:rPr>
          <w:rFonts w:ascii="Arial"/>
          <w:sz w:val="20"/>
        </w:rPr>
      </w:pPr>
    </w:p>
    <w:p w14:paraId="0B172C8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3150A79" w14:textId="77777777"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93F70FE" w14:textId="77777777" w:rsidR="00250C56" w:rsidRPr="00250C56" w:rsidRDefault="00250C56" w:rsidP="00250C56">
      <w:pPr>
        <w:rPr>
          <w:rFonts w:ascii="Arial" w:hAnsi="Arial" w:cs="Arial"/>
          <w:sz w:val="18"/>
          <w:szCs w:val="18"/>
        </w:rPr>
      </w:pPr>
      <w:r w:rsidRPr="00250C56">
        <w:rPr>
          <w:rFonts w:ascii="Arial" w:hAnsi="Arial" w:cs="Arial"/>
          <w:i/>
          <w:sz w:val="18"/>
          <w:szCs w:val="18"/>
        </w:rPr>
        <w:t>Background</w:t>
      </w:r>
      <w:r w:rsidRPr="00250C56">
        <w:rPr>
          <w:rFonts w:ascii="Arial" w:hAnsi="Arial" w:cs="Arial"/>
          <w:sz w:val="18"/>
          <w:szCs w:val="18"/>
        </w:rPr>
        <w:t xml:space="preserve">: Patient involvement in practice assessment was first introduced in 1996 but failed to establish itself as a routine </w:t>
      </w:r>
      <w:r>
        <w:rPr>
          <w:rFonts w:ascii="Arial" w:hAnsi="Arial" w:cs="Arial"/>
          <w:sz w:val="18"/>
          <w:szCs w:val="18"/>
        </w:rPr>
        <w:t>practice</w:t>
      </w:r>
      <w:r w:rsidRPr="00250C56">
        <w:rPr>
          <w:rFonts w:ascii="Arial" w:hAnsi="Arial" w:cs="Arial"/>
          <w:sz w:val="18"/>
          <w:szCs w:val="18"/>
        </w:rPr>
        <w:t xml:space="preserve">. Fourteen years later, in 2010 the UK Nursing and Midwifery Council restated this requirement in response to concerns that university-based nursing education was not producing caring and compassionate nurses. This concern speaks to two enduring discourses. First, there is a discourse of nursing as a caring vocation, predicated upon a model of practical, ward-based training. Second, there is a discourse of nursing that regards it as an adjunct medical profession, predicated upon technical-scientific education. </w:t>
      </w:r>
      <w:r w:rsidRPr="00250C56">
        <w:rPr>
          <w:rFonts w:ascii="Arial" w:hAnsi="Arial" w:cs="Arial"/>
          <w:i/>
          <w:sz w:val="18"/>
          <w:szCs w:val="18"/>
        </w:rPr>
        <w:t>Aim</w:t>
      </w:r>
      <w:r w:rsidRPr="00250C56">
        <w:rPr>
          <w:rFonts w:ascii="Arial" w:hAnsi="Arial" w:cs="Arial"/>
          <w:sz w:val="18"/>
          <w:szCs w:val="18"/>
        </w:rPr>
        <w:t>: To critically explore how these discourses influence and affect the contributions, involvement and subject positions associated with patients and their involvement in the summative assessment of pre-registration adult nursing students during hospital placements.</w:t>
      </w:r>
      <w:r>
        <w:rPr>
          <w:rFonts w:ascii="Arial" w:hAnsi="Arial" w:cs="Arial"/>
          <w:sz w:val="18"/>
          <w:szCs w:val="18"/>
        </w:rPr>
        <w:t xml:space="preserve"> </w:t>
      </w:r>
      <w:r w:rsidRPr="00250C56">
        <w:rPr>
          <w:rFonts w:ascii="Arial" w:hAnsi="Arial" w:cs="Arial"/>
          <w:i/>
          <w:sz w:val="18"/>
          <w:szCs w:val="18"/>
        </w:rPr>
        <w:t>Methods</w:t>
      </w:r>
      <w:r w:rsidRPr="00250C56">
        <w:rPr>
          <w:rFonts w:ascii="Arial" w:hAnsi="Arial" w:cs="Arial"/>
          <w:sz w:val="18"/>
          <w:szCs w:val="18"/>
        </w:rPr>
        <w:t>: This study adopted a poststructuralist logics approach that involved analysis of documentary and narrative texts. Six patients, six adult nursing students, six mentors and six nurse lecturers from one UK university and one acute hospital were interviewed using semi-structured interviews</w:t>
      </w:r>
      <w:r w:rsidR="003A0BD4">
        <w:rPr>
          <w:rFonts w:ascii="Arial" w:hAnsi="Arial" w:cs="Arial"/>
          <w:sz w:val="18"/>
          <w:szCs w:val="18"/>
        </w:rPr>
        <w:t xml:space="preserve">. </w:t>
      </w:r>
      <w:proofErr w:type="spellStart"/>
      <w:r w:rsidRPr="00250C56">
        <w:rPr>
          <w:rFonts w:ascii="Arial" w:hAnsi="Arial" w:cs="Arial"/>
          <w:sz w:val="18"/>
          <w:szCs w:val="18"/>
        </w:rPr>
        <w:t>Hajer’s</w:t>
      </w:r>
      <w:proofErr w:type="spellEnd"/>
      <w:r w:rsidRPr="00250C56">
        <w:rPr>
          <w:rFonts w:ascii="Arial" w:hAnsi="Arial" w:cs="Arial"/>
          <w:sz w:val="18"/>
          <w:szCs w:val="18"/>
        </w:rPr>
        <w:t xml:space="preserve"> ten analytical steps guided data analysis. </w:t>
      </w:r>
      <w:r w:rsidRPr="00250C56">
        <w:rPr>
          <w:rFonts w:ascii="Arial" w:hAnsi="Arial" w:cs="Arial"/>
          <w:i/>
          <w:sz w:val="18"/>
          <w:szCs w:val="18"/>
        </w:rPr>
        <w:t>Findings</w:t>
      </w:r>
      <w:r w:rsidRPr="00250C56">
        <w:rPr>
          <w:rFonts w:ascii="Arial" w:hAnsi="Arial" w:cs="Arial"/>
          <w:sz w:val="18"/>
          <w:szCs w:val="18"/>
        </w:rPr>
        <w:t xml:space="preserve">: The empirical </w:t>
      </w:r>
      <w:proofErr w:type="spellStart"/>
      <w:r w:rsidRPr="00250C56">
        <w:rPr>
          <w:rFonts w:ascii="Arial" w:hAnsi="Arial" w:cs="Arial"/>
          <w:sz w:val="18"/>
          <w:szCs w:val="18"/>
        </w:rPr>
        <w:t>characterisation</w:t>
      </w:r>
      <w:proofErr w:type="spellEnd"/>
      <w:r w:rsidRPr="00250C56">
        <w:rPr>
          <w:rFonts w:ascii="Arial" w:hAnsi="Arial" w:cs="Arial"/>
          <w:sz w:val="18"/>
          <w:szCs w:val="18"/>
        </w:rPr>
        <w:t xml:space="preserve"> of patient involvement as a social logic identified three distinct sets of practices, logics of </w:t>
      </w:r>
      <w:proofErr w:type="spellStart"/>
      <w:r w:rsidRPr="00250C56">
        <w:rPr>
          <w:rFonts w:ascii="Arial" w:hAnsi="Arial" w:cs="Arial"/>
          <w:sz w:val="18"/>
          <w:szCs w:val="18"/>
        </w:rPr>
        <w:t>experientialisation</w:t>
      </w:r>
      <w:proofErr w:type="spellEnd"/>
      <w:r w:rsidRPr="00250C56">
        <w:rPr>
          <w:rFonts w:ascii="Arial" w:hAnsi="Arial" w:cs="Arial"/>
          <w:sz w:val="18"/>
          <w:szCs w:val="18"/>
        </w:rPr>
        <w:t xml:space="preserve">, protectionism and </w:t>
      </w:r>
      <w:proofErr w:type="spellStart"/>
      <w:r w:rsidRPr="00250C56">
        <w:rPr>
          <w:rFonts w:ascii="Arial" w:hAnsi="Arial" w:cs="Arial"/>
          <w:sz w:val="18"/>
          <w:szCs w:val="18"/>
        </w:rPr>
        <w:t>systematisation</w:t>
      </w:r>
      <w:proofErr w:type="spellEnd"/>
      <w:r w:rsidRPr="00250C56">
        <w:rPr>
          <w:rFonts w:ascii="Arial" w:hAnsi="Arial" w:cs="Arial"/>
          <w:sz w:val="18"/>
          <w:szCs w:val="18"/>
        </w:rPr>
        <w:t xml:space="preserve">. These social logics demonstrate the on-going tensions between patient and practitioner appraisals of patient involvement. The analysis of political and </w:t>
      </w:r>
      <w:proofErr w:type="spellStart"/>
      <w:r w:rsidRPr="00250C56">
        <w:rPr>
          <w:rFonts w:ascii="Arial" w:hAnsi="Arial" w:cs="Arial"/>
          <w:sz w:val="18"/>
          <w:szCs w:val="18"/>
        </w:rPr>
        <w:t>fantasmatic</w:t>
      </w:r>
      <w:proofErr w:type="spellEnd"/>
      <w:r w:rsidRPr="00250C56">
        <w:rPr>
          <w:rFonts w:ascii="Arial" w:hAnsi="Arial" w:cs="Arial"/>
          <w:sz w:val="18"/>
          <w:szCs w:val="18"/>
        </w:rPr>
        <w:t xml:space="preserve"> logics demonstrates how boundaries between vocation versus technical-scientific nursing are established and maintained to create a hegemonic normative frame that constitutes patient involvement as a solution to ‘fix’ nursing.</w:t>
      </w:r>
      <w:r>
        <w:rPr>
          <w:rFonts w:ascii="Arial" w:hAnsi="Arial" w:cs="Arial"/>
          <w:sz w:val="18"/>
          <w:szCs w:val="18"/>
        </w:rPr>
        <w:t xml:space="preserve"> </w:t>
      </w:r>
      <w:r w:rsidRPr="00250C56">
        <w:rPr>
          <w:rFonts w:ascii="Arial" w:hAnsi="Arial" w:cs="Arial"/>
          <w:i/>
          <w:sz w:val="18"/>
          <w:szCs w:val="18"/>
        </w:rPr>
        <w:t>Conclusion</w:t>
      </w:r>
      <w:r w:rsidRPr="00250C56">
        <w:rPr>
          <w:rFonts w:ascii="Arial" w:hAnsi="Arial" w:cs="Arial"/>
          <w:sz w:val="18"/>
          <w:szCs w:val="18"/>
        </w:rPr>
        <w:t>: This research demonstrates that involvement of patients in practice assessment remains largely tokenistic, in no small part due to tensions between discourses of vocational and technical-scientific nursing. It is not until these tensions are addressed that patient involvement will be able to fulfil its real potential.</w:t>
      </w:r>
    </w:p>
    <w:p w14:paraId="01DE7A1F" w14:textId="77777777" w:rsidR="005973B9" w:rsidRDefault="00A9710C" w:rsidP="004A5CC8">
      <w:pPr>
        <w:pStyle w:val="Heading3"/>
        <w:spacing w:before="74"/>
        <w:rPr>
          <w:color w:val="BF5A14"/>
        </w:rPr>
      </w:pPr>
      <w:r>
        <w:rPr>
          <w:b w:val="0"/>
        </w:rPr>
        <w:br w:type="column"/>
      </w:r>
      <w:r w:rsidR="005973B9">
        <w:rPr>
          <w:color w:val="BF5A14"/>
        </w:rPr>
        <w:lastRenderedPageBreak/>
        <w:t>Recent Publications (minimum 5)</w:t>
      </w:r>
    </w:p>
    <w:p w14:paraId="4EFFB36E" w14:textId="77777777" w:rsidR="00773D20" w:rsidRPr="004A5CC8" w:rsidRDefault="00773D20" w:rsidP="004A5CC8">
      <w:pPr>
        <w:pStyle w:val="Heading3"/>
        <w:spacing w:before="74"/>
      </w:pPr>
    </w:p>
    <w:p w14:paraId="3AA57785" w14:textId="77777777" w:rsidR="00E136C9" w:rsidRPr="00E136C9" w:rsidRDefault="00C41EC9" w:rsidP="00451E21">
      <w:pPr>
        <w:pStyle w:val="ListParagraph"/>
        <w:numPr>
          <w:ilvl w:val="0"/>
          <w:numId w:val="4"/>
        </w:numPr>
        <w:spacing w:before="0" w:line="240" w:lineRule="auto"/>
        <w:rPr>
          <w:rFonts w:ascii="Arial" w:eastAsia="Times New Roman" w:hAnsi="Arial" w:cs="Arial"/>
          <w:sz w:val="18"/>
          <w:szCs w:val="18"/>
        </w:rPr>
      </w:pPr>
      <w:r w:rsidRPr="00CE7985">
        <w:rPr>
          <w:rFonts w:ascii="Arial" w:hAnsi="Arial" w:cs="Arial"/>
          <w:sz w:val="18"/>
          <w:szCs w:val="18"/>
        </w:rPr>
        <w:t>Rooke, N. (2018) Patient Involvement in the Assessment of Pre-registration Adult Nursing Students Practice. PhD Thesis.</w:t>
      </w:r>
      <w:r w:rsidR="00A44BDC" w:rsidRPr="00CE7985">
        <w:rPr>
          <w:rFonts w:ascii="Arial" w:hAnsi="Arial" w:cs="Arial"/>
          <w:sz w:val="18"/>
          <w:szCs w:val="18"/>
        </w:rPr>
        <w:t xml:space="preserve"> University of Essex. Colchester</w:t>
      </w:r>
      <w:r w:rsidRPr="00CE7985">
        <w:rPr>
          <w:rFonts w:ascii="Arial" w:hAnsi="Arial" w:cs="Arial"/>
          <w:sz w:val="18"/>
          <w:szCs w:val="18"/>
        </w:rPr>
        <w:t xml:space="preserve"> </w:t>
      </w:r>
    </w:p>
    <w:p w14:paraId="50DB6DED" w14:textId="77777777" w:rsidR="00E136C9" w:rsidRPr="00E136C9" w:rsidRDefault="00E136C9" w:rsidP="00451E21">
      <w:pPr>
        <w:pStyle w:val="ListParagraph"/>
        <w:spacing w:before="0" w:line="240" w:lineRule="auto"/>
        <w:ind w:left="720" w:firstLine="0"/>
        <w:rPr>
          <w:rFonts w:ascii="Arial" w:eastAsia="Times New Roman" w:hAnsi="Arial" w:cs="Arial"/>
          <w:sz w:val="18"/>
          <w:szCs w:val="18"/>
        </w:rPr>
      </w:pPr>
    </w:p>
    <w:p w14:paraId="09447518" w14:textId="78E6FF42" w:rsidR="00E136C9" w:rsidRPr="00E136C9" w:rsidRDefault="00E136C9" w:rsidP="00451E21">
      <w:pPr>
        <w:pStyle w:val="ListParagraph"/>
        <w:numPr>
          <w:ilvl w:val="0"/>
          <w:numId w:val="4"/>
        </w:numPr>
        <w:spacing w:before="0" w:line="240" w:lineRule="auto"/>
        <w:rPr>
          <w:rFonts w:ascii="Arial" w:eastAsia="Times New Roman" w:hAnsi="Arial" w:cs="Arial"/>
          <w:sz w:val="18"/>
          <w:szCs w:val="18"/>
        </w:rPr>
      </w:pPr>
      <w:proofErr w:type="spellStart"/>
      <w:r w:rsidRPr="00E136C9">
        <w:rPr>
          <w:rFonts w:ascii="Arial" w:hAnsi="Arial" w:cs="Arial"/>
          <w:sz w:val="18"/>
          <w:szCs w:val="18"/>
          <w:lang w:val="en-GB"/>
        </w:rPr>
        <w:t>Fredriksson</w:t>
      </w:r>
      <w:proofErr w:type="spellEnd"/>
      <w:r w:rsidRPr="00E136C9">
        <w:rPr>
          <w:rFonts w:ascii="Arial" w:hAnsi="Arial" w:cs="Arial"/>
          <w:sz w:val="18"/>
          <w:szCs w:val="18"/>
          <w:lang w:val="en-GB"/>
        </w:rPr>
        <w:t xml:space="preserve">, M., </w:t>
      </w:r>
      <w:proofErr w:type="spellStart"/>
      <w:r w:rsidRPr="00E136C9">
        <w:rPr>
          <w:rFonts w:ascii="Arial" w:hAnsi="Arial" w:cs="Arial"/>
          <w:sz w:val="18"/>
          <w:szCs w:val="18"/>
          <w:lang w:val="en-GB"/>
        </w:rPr>
        <w:t>Tritter</w:t>
      </w:r>
      <w:proofErr w:type="spellEnd"/>
      <w:r w:rsidRPr="00E136C9">
        <w:rPr>
          <w:rFonts w:ascii="Arial" w:hAnsi="Arial" w:cs="Arial"/>
          <w:sz w:val="18"/>
          <w:szCs w:val="18"/>
          <w:lang w:val="en-GB"/>
        </w:rPr>
        <w:t xml:space="preserve">, JQ. (2017) Disentangling patient and public involvement in healthcare decisions: why the difference matters. </w:t>
      </w:r>
      <w:r w:rsidRPr="00E136C9">
        <w:rPr>
          <w:rFonts w:ascii="Arial" w:hAnsi="Arial" w:cs="Arial"/>
          <w:i/>
          <w:sz w:val="18"/>
          <w:szCs w:val="18"/>
          <w:lang w:val="en-GB"/>
        </w:rPr>
        <w:t>Sociology of Health and Illness.</w:t>
      </w:r>
      <w:r w:rsidRPr="00E136C9">
        <w:rPr>
          <w:rFonts w:ascii="Arial" w:hAnsi="Arial" w:cs="Arial"/>
          <w:sz w:val="18"/>
          <w:szCs w:val="18"/>
          <w:lang w:val="en-GB"/>
        </w:rPr>
        <w:t xml:space="preserve"> 39 (1), 95-111</w:t>
      </w:r>
    </w:p>
    <w:p w14:paraId="0AE188A9" w14:textId="77777777" w:rsidR="00E136C9" w:rsidRPr="00CE7985" w:rsidRDefault="00E136C9" w:rsidP="00451E21">
      <w:pPr>
        <w:pStyle w:val="ListParagraph"/>
        <w:spacing w:before="0" w:line="240" w:lineRule="auto"/>
        <w:ind w:left="720" w:firstLine="0"/>
        <w:rPr>
          <w:rFonts w:ascii="Arial" w:eastAsia="Times New Roman" w:hAnsi="Arial" w:cs="Arial"/>
          <w:sz w:val="18"/>
          <w:szCs w:val="18"/>
        </w:rPr>
      </w:pPr>
    </w:p>
    <w:p w14:paraId="3E741165" w14:textId="77777777" w:rsidR="00451E21" w:rsidRPr="00451E21" w:rsidRDefault="00CE7985" w:rsidP="00451E21">
      <w:pPr>
        <w:pStyle w:val="ListParagraph"/>
        <w:numPr>
          <w:ilvl w:val="0"/>
          <w:numId w:val="4"/>
        </w:numPr>
        <w:autoSpaceDE w:val="0"/>
        <w:autoSpaceDN w:val="0"/>
        <w:adjustRightInd w:val="0"/>
        <w:spacing w:before="0" w:line="240" w:lineRule="auto"/>
        <w:rPr>
          <w:rFonts w:ascii="Arial" w:hAnsi="Arial" w:cs="Arial"/>
          <w:sz w:val="18"/>
          <w:szCs w:val="18"/>
        </w:rPr>
      </w:pPr>
      <w:r w:rsidRPr="00CE7985">
        <w:rPr>
          <w:rFonts w:ascii="Arial" w:hAnsi="Arial" w:cs="Arial"/>
          <w:sz w:val="18"/>
          <w:szCs w:val="18"/>
          <w:lang w:val="en-GB"/>
        </w:rPr>
        <w:t xml:space="preserve">Croft, C., Currie, G., </w:t>
      </w:r>
      <w:proofErr w:type="spellStart"/>
      <w:r w:rsidRPr="00CE7985">
        <w:rPr>
          <w:rFonts w:ascii="Arial" w:hAnsi="Arial" w:cs="Arial"/>
          <w:sz w:val="18"/>
          <w:szCs w:val="18"/>
          <w:lang w:val="en-GB"/>
        </w:rPr>
        <w:t>Staniszewska</w:t>
      </w:r>
      <w:proofErr w:type="spellEnd"/>
      <w:r w:rsidRPr="00CE7985">
        <w:rPr>
          <w:rFonts w:ascii="Arial" w:hAnsi="Arial" w:cs="Arial"/>
          <w:sz w:val="18"/>
          <w:szCs w:val="18"/>
          <w:lang w:val="en-GB"/>
        </w:rPr>
        <w:t xml:space="preserve">, S. (2016) Moving from a rational to normative ideologies of control over patient involvement: A case of continued managerial dominance. </w:t>
      </w:r>
      <w:r w:rsidRPr="00CE7985">
        <w:rPr>
          <w:rFonts w:ascii="Arial" w:hAnsi="Arial" w:cs="Arial"/>
          <w:i/>
          <w:sz w:val="18"/>
          <w:szCs w:val="18"/>
          <w:lang w:val="en-GB"/>
        </w:rPr>
        <w:t xml:space="preserve">Social Science and Medicine. </w:t>
      </w:r>
      <w:r w:rsidRPr="00CE7985">
        <w:rPr>
          <w:rFonts w:ascii="Arial" w:hAnsi="Arial" w:cs="Arial"/>
          <w:sz w:val="18"/>
          <w:szCs w:val="18"/>
          <w:lang w:val="en-GB"/>
        </w:rPr>
        <w:t>162, 124-132</w:t>
      </w:r>
    </w:p>
    <w:p w14:paraId="05310EC5" w14:textId="77777777" w:rsidR="00451E21" w:rsidRPr="00451E21" w:rsidRDefault="00451E21" w:rsidP="00451E21">
      <w:pPr>
        <w:autoSpaceDE w:val="0"/>
        <w:autoSpaceDN w:val="0"/>
        <w:adjustRightInd w:val="0"/>
        <w:rPr>
          <w:rFonts w:ascii="Arial" w:hAnsi="Arial" w:cs="Arial"/>
          <w:sz w:val="18"/>
          <w:szCs w:val="18"/>
        </w:rPr>
      </w:pPr>
    </w:p>
    <w:p w14:paraId="67EE7AB4" w14:textId="05CC2EEE" w:rsidR="00C24BE2" w:rsidRPr="00451E21" w:rsidRDefault="00C24BE2" w:rsidP="00451E21">
      <w:pPr>
        <w:pStyle w:val="ListParagraph"/>
        <w:numPr>
          <w:ilvl w:val="0"/>
          <w:numId w:val="4"/>
        </w:numPr>
        <w:autoSpaceDE w:val="0"/>
        <w:autoSpaceDN w:val="0"/>
        <w:adjustRightInd w:val="0"/>
        <w:spacing w:before="0" w:line="240" w:lineRule="auto"/>
        <w:rPr>
          <w:rFonts w:ascii="Arial" w:hAnsi="Arial" w:cs="Arial"/>
          <w:sz w:val="18"/>
          <w:szCs w:val="18"/>
        </w:rPr>
      </w:pPr>
      <w:r w:rsidRPr="00451E21">
        <w:rPr>
          <w:rFonts w:ascii="Arial" w:hAnsi="Arial" w:cs="Arial"/>
          <w:sz w:val="18"/>
          <w:szCs w:val="18"/>
        </w:rPr>
        <w:t xml:space="preserve">McMahon-Parkes, K., Chapman, L., James, J (2016) The views of patients, mentors and adult field nursing students on patients’ participation in student nurse assessment in practice. </w:t>
      </w:r>
      <w:r w:rsidRPr="00451E21">
        <w:rPr>
          <w:rFonts w:ascii="Arial" w:hAnsi="Arial" w:cs="Arial"/>
          <w:i/>
          <w:sz w:val="18"/>
          <w:szCs w:val="18"/>
        </w:rPr>
        <w:t xml:space="preserve">Nurse Education in Practice. </w:t>
      </w:r>
      <w:r w:rsidRPr="00451E21">
        <w:rPr>
          <w:rFonts w:ascii="Arial" w:hAnsi="Arial" w:cs="Arial"/>
          <w:sz w:val="18"/>
          <w:szCs w:val="18"/>
        </w:rPr>
        <w:t>16, 202-208</w:t>
      </w:r>
    </w:p>
    <w:p w14:paraId="6A04925A" w14:textId="77777777" w:rsidR="00451E21" w:rsidRPr="00451E21" w:rsidRDefault="00451E21" w:rsidP="00451E21">
      <w:pPr>
        <w:autoSpaceDE w:val="0"/>
        <w:autoSpaceDN w:val="0"/>
        <w:adjustRightInd w:val="0"/>
        <w:rPr>
          <w:rFonts w:ascii="Arial" w:hAnsi="Arial" w:cs="Arial"/>
          <w:color w:val="0000FF" w:themeColor="hyperlink"/>
          <w:sz w:val="18"/>
          <w:szCs w:val="18"/>
          <w:u w:val="single"/>
        </w:rPr>
      </w:pPr>
    </w:p>
    <w:p w14:paraId="1179A4CD" w14:textId="77777777" w:rsidR="00451E21" w:rsidRPr="00451E21" w:rsidRDefault="00451E21" w:rsidP="00451E21">
      <w:pPr>
        <w:pStyle w:val="ListParagraph"/>
        <w:numPr>
          <w:ilvl w:val="0"/>
          <w:numId w:val="4"/>
        </w:numPr>
        <w:autoSpaceDE w:val="0"/>
        <w:autoSpaceDN w:val="0"/>
        <w:adjustRightInd w:val="0"/>
        <w:spacing w:before="0" w:line="240" w:lineRule="auto"/>
        <w:ind w:left="714" w:hanging="357"/>
        <w:rPr>
          <w:rFonts w:ascii="Arial" w:hAnsi="Arial" w:cs="Arial"/>
          <w:sz w:val="18"/>
          <w:szCs w:val="18"/>
        </w:rPr>
      </w:pPr>
      <w:r w:rsidRPr="00451E21">
        <w:rPr>
          <w:rFonts w:ascii="Arial" w:hAnsi="Arial" w:cs="Arial"/>
          <w:sz w:val="18"/>
          <w:szCs w:val="18"/>
        </w:rPr>
        <w:t xml:space="preserve">Scammell, J., </w:t>
      </w:r>
      <w:proofErr w:type="spellStart"/>
      <w:r w:rsidRPr="00451E21">
        <w:rPr>
          <w:rFonts w:ascii="Arial" w:hAnsi="Arial" w:cs="Arial"/>
          <w:sz w:val="18"/>
          <w:szCs w:val="18"/>
        </w:rPr>
        <w:t>Heaslip</w:t>
      </w:r>
      <w:proofErr w:type="spellEnd"/>
      <w:r w:rsidRPr="00451E21">
        <w:rPr>
          <w:rFonts w:ascii="Arial" w:hAnsi="Arial" w:cs="Arial"/>
          <w:sz w:val="18"/>
          <w:szCs w:val="18"/>
        </w:rPr>
        <w:t xml:space="preserve">, V., Crowley, E. (2016) Service user involvement in preregistration general nurse education: a systematic literature review. </w:t>
      </w:r>
      <w:r w:rsidRPr="00451E21">
        <w:rPr>
          <w:rFonts w:ascii="Arial" w:hAnsi="Arial" w:cs="Arial"/>
          <w:i/>
          <w:sz w:val="18"/>
          <w:szCs w:val="18"/>
        </w:rPr>
        <w:t xml:space="preserve">Journal of Clinical Nursing. </w:t>
      </w:r>
      <w:r w:rsidRPr="00451E21">
        <w:rPr>
          <w:rFonts w:ascii="Arial" w:hAnsi="Arial" w:cs="Arial"/>
          <w:sz w:val="18"/>
          <w:szCs w:val="18"/>
        </w:rPr>
        <w:t xml:space="preserve">25 (1-2), 53-69 </w:t>
      </w:r>
    </w:p>
    <w:p w14:paraId="71749F93" w14:textId="77777777" w:rsidR="00A44BDC" w:rsidRPr="00A44BDC" w:rsidRDefault="00A44BDC" w:rsidP="00CE7985">
      <w:pPr>
        <w:pStyle w:val="ListParagraph"/>
        <w:ind w:left="720" w:firstLine="0"/>
        <w:rPr>
          <w:rFonts w:ascii="Arial" w:eastAsia="Times New Roman" w:hAnsi="Arial" w:cs="Arial"/>
          <w:sz w:val="18"/>
          <w:szCs w:val="18"/>
        </w:rPr>
      </w:pPr>
    </w:p>
    <w:p w14:paraId="42935755" w14:textId="115748CA" w:rsidR="004A5CC8" w:rsidRDefault="004A5CC8" w:rsidP="00A44BDC">
      <w:pPr>
        <w:pStyle w:val="Default"/>
        <w:ind w:left="383"/>
        <w:rPr>
          <w:sz w:val="18"/>
          <w:szCs w:val="18"/>
        </w:rPr>
      </w:pPr>
    </w:p>
    <w:p w14:paraId="298A3697" w14:textId="77777777" w:rsidR="004A5CC8" w:rsidRDefault="004A5CC8" w:rsidP="004A5CC8">
      <w:pPr>
        <w:pStyle w:val="Default"/>
        <w:ind w:left="383"/>
        <w:rPr>
          <w:sz w:val="18"/>
          <w:szCs w:val="18"/>
        </w:rPr>
      </w:pPr>
    </w:p>
    <w:p w14:paraId="37942D41" w14:textId="77777777" w:rsidR="004A5CC8" w:rsidRPr="004A5CC8" w:rsidRDefault="004A5CC8" w:rsidP="004A5CC8">
      <w:pPr>
        <w:pStyle w:val="Default"/>
        <w:rPr>
          <w:rFonts w:eastAsiaTheme="minorEastAsia" w:cs="Times New Roman"/>
          <w:sz w:val="18"/>
          <w:szCs w:val="18"/>
        </w:rPr>
      </w:pPr>
    </w:p>
    <w:p w14:paraId="6875A200" w14:textId="77777777" w:rsidR="004A5CC8" w:rsidRDefault="004A5CC8" w:rsidP="004A5CC8">
      <w:pPr>
        <w:pStyle w:val="ListParagraph"/>
        <w:tabs>
          <w:tab w:val="left" w:pos="384"/>
        </w:tabs>
        <w:spacing w:line="216" w:lineRule="exact"/>
        <w:ind w:right="137" w:firstLine="0"/>
        <w:rPr>
          <w:sz w:val="18"/>
        </w:rPr>
      </w:pPr>
    </w:p>
    <w:p w14:paraId="03D4C66D" w14:textId="77777777" w:rsidR="00AE3E37" w:rsidRPr="008756E6" w:rsidRDefault="00AE3E37" w:rsidP="008756E6">
      <w:pPr>
        <w:tabs>
          <w:tab w:val="left" w:pos="384"/>
        </w:tabs>
        <w:ind w:right="117"/>
      </w:pPr>
    </w:p>
    <w:p w14:paraId="14CCF0B5" w14:textId="77777777" w:rsidR="00AE3E37" w:rsidRDefault="007C69B4">
      <w:pPr>
        <w:spacing w:line="200" w:lineRule="exact"/>
        <w:jc w:val="both"/>
        <w:rPr>
          <w:rFonts w:ascii="Calibri" w:hAnsi="Calibri"/>
        </w:rPr>
      </w:pPr>
      <w:r>
        <w:rPr>
          <w:rFonts w:ascii="Calibri" w:hAnsi="Calibri"/>
        </w:rPr>
        <w:t xml:space="preserve">  </w:t>
      </w:r>
    </w:p>
    <w:p w14:paraId="153B1092" w14:textId="77777777" w:rsidR="007C69B4" w:rsidRDefault="007C69B4">
      <w:pPr>
        <w:spacing w:line="200" w:lineRule="exact"/>
        <w:jc w:val="both"/>
        <w:rPr>
          <w:rFonts w:ascii="Calibri" w:hAnsi="Calibri"/>
        </w:rPr>
        <w:sectPr w:rsidR="007C69B4">
          <w:type w:val="continuous"/>
          <w:pgSz w:w="11910" w:h="16840"/>
          <w:pgMar w:top="1740" w:right="600" w:bottom="840" w:left="620" w:header="720" w:footer="720" w:gutter="0"/>
          <w:cols w:num="2" w:space="720" w:equalWidth="0">
            <w:col w:w="5214" w:space="138"/>
            <w:col w:w="5338"/>
          </w:cols>
        </w:sectPr>
      </w:pPr>
    </w:p>
    <w:p w14:paraId="15F76917" w14:textId="77777777" w:rsidR="007C69B4" w:rsidRDefault="007C69B4">
      <w:pPr>
        <w:pStyle w:val="BodyText"/>
        <w:rPr>
          <w:rFonts w:ascii="Calibri"/>
          <w:b/>
          <w:sz w:val="20"/>
        </w:rPr>
      </w:pPr>
    </w:p>
    <w:p w14:paraId="4F8745BC" w14:textId="77777777" w:rsidR="00AE3E37" w:rsidRPr="00D62425" w:rsidRDefault="00D62425">
      <w:pPr>
        <w:pStyle w:val="BodyText"/>
        <w:rPr>
          <w:rFonts w:ascii="Calibri"/>
          <w:b/>
          <w:sz w:val="20"/>
        </w:rPr>
      </w:pPr>
      <w:r w:rsidRPr="00D62425">
        <w:rPr>
          <w:rFonts w:ascii="Calibri"/>
          <w:b/>
          <w:sz w:val="20"/>
        </w:rPr>
        <w:t>Photograph</w:t>
      </w:r>
    </w:p>
    <w:p w14:paraId="138B27D9"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8DE225E" wp14:editId="5CD967A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C846E8C" w14:textId="77777777" w:rsidR="007C69B4" w:rsidRPr="007C69B4" w:rsidRDefault="007C69B4" w:rsidP="007C69B4">
      <w:pPr>
        <w:rPr>
          <w:rFonts w:ascii="Times New Roman" w:eastAsia="Times New Roman" w:hAnsi="Times New Roman" w:cs="Times New Roman"/>
          <w:sz w:val="24"/>
          <w:szCs w:val="24"/>
        </w:rPr>
      </w:pPr>
      <w:r w:rsidRPr="007C69B4">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14:anchorId="64694A0A" wp14:editId="364A3B9F">
            <wp:simplePos x="0" y="0"/>
            <wp:positionH relativeFrom="column">
              <wp:posOffset>60041</wp:posOffset>
            </wp:positionH>
            <wp:positionV relativeFrom="paragraph">
              <wp:posOffset>87738</wp:posOffset>
            </wp:positionV>
            <wp:extent cx="586105" cy="586105"/>
            <wp:effectExtent l="0" t="0" r="0" b="0"/>
            <wp:wrapNone/>
            <wp:docPr id="2" name="Picture 2" descr="mage result for nickey Ro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result for nickey Rook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6105" cy="58610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p>
    <w:p w14:paraId="5F91CBF8" w14:textId="77777777" w:rsidR="007C69B4" w:rsidRDefault="007C69B4" w:rsidP="00404E5B">
      <w:pPr>
        <w:spacing w:before="92"/>
        <w:ind w:right="4234"/>
        <w:rPr>
          <w:rFonts w:ascii="Arial"/>
          <w:color w:val="BF5A14"/>
        </w:rPr>
      </w:pPr>
    </w:p>
    <w:p w14:paraId="774AE47F" w14:textId="77777777" w:rsidR="007C69B4" w:rsidRDefault="007C69B4" w:rsidP="00404E5B">
      <w:pPr>
        <w:spacing w:before="92"/>
        <w:ind w:right="4234"/>
        <w:rPr>
          <w:rFonts w:ascii="Arial"/>
          <w:color w:val="BF5A14"/>
        </w:rPr>
      </w:pPr>
    </w:p>
    <w:p w14:paraId="0F2CE290"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47FC5CB1" w14:textId="77777777" w:rsidR="007C69B4" w:rsidRDefault="00A9710C">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r w:rsidR="007C69B4">
        <w:rPr>
          <w:rFonts w:ascii="Arial"/>
          <w:sz w:val="14"/>
        </w:rPr>
        <w:t xml:space="preserve">Nickey Rooke </w:t>
      </w:r>
      <w:r>
        <w:rPr>
          <w:rFonts w:ascii="Arial"/>
          <w:sz w:val="14"/>
        </w:rPr>
        <w:t xml:space="preserve">has her expertise in </w:t>
      </w:r>
      <w:r w:rsidR="007C69B4">
        <w:rPr>
          <w:rFonts w:ascii="Arial"/>
          <w:sz w:val="14"/>
        </w:rPr>
        <w:t xml:space="preserve">service user / patient involvement in health professional education. </w:t>
      </w:r>
      <w:r w:rsidR="00F907D1">
        <w:rPr>
          <w:rFonts w:ascii="Arial"/>
          <w:sz w:val="14"/>
        </w:rPr>
        <w:t>She has years of experience in UK nurse education both in the practice and academic setting. Her research is one of the first within nursing to utilize a political discourse theory approach</w:t>
      </w:r>
      <w:r w:rsidR="00A6764E">
        <w:rPr>
          <w:rFonts w:ascii="Arial"/>
          <w:sz w:val="14"/>
        </w:rPr>
        <w:t xml:space="preserve"> adopting </w:t>
      </w:r>
      <w:proofErr w:type="spellStart"/>
      <w:r w:rsidR="00F907D1">
        <w:rPr>
          <w:rFonts w:ascii="Arial"/>
          <w:sz w:val="14"/>
        </w:rPr>
        <w:t>Glynos</w:t>
      </w:r>
      <w:proofErr w:type="spellEnd"/>
      <w:r w:rsidR="00F907D1">
        <w:rPr>
          <w:rFonts w:ascii="Arial"/>
          <w:sz w:val="14"/>
        </w:rPr>
        <w:t xml:space="preserve"> and </w:t>
      </w:r>
      <w:proofErr w:type="spellStart"/>
      <w:r w:rsidR="00F907D1">
        <w:rPr>
          <w:rFonts w:ascii="Arial"/>
          <w:sz w:val="14"/>
        </w:rPr>
        <w:t>Howarth</w:t>
      </w:r>
      <w:r w:rsidR="00F907D1">
        <w:rPr>
          <w:rFonts w:ascii="Arial"/>
          <w:sz w:val="14"/>
        </w:rPr>
        <w:t>’</w:t>
      </w:r>
      <w:r w:rsidR="00F907D1">
        <w:rPr>
          <w:rFonts w:ascii="Arial"/>
          <w:sz w:val="14"/>
        </w:rPr>
        <w:t>s</w:t>
      </w:r>
      <w:proofErr w:type="spellEnd"/>
      <w:r w:rsidR="00F907D1">
        <w:rPr>
          <w:rFonts w:ascii="Arial"/>
          <w:sz w:val="14"/>
        </w:rPr>
        <w:t xml:space="preserve"> (2008) Logics of Critical Explanation (2008)</w:t>
      </w:r>
      <w:r w:rsidR="00A6764E">
        <w:rPr>
          <w:rFonts w:ascii="Arial"/>
          <w:sz w:val="14"/>
        </w:rPr>
        <w:t xml:space="preserve">. This methodology facilitates the discursive characterization of </w:t>
      </w:r>
      <w:r w:rsidR="000A528C">
        <w:rPr>
          <w:rFonts w:ascii="Arial"/>
          <w:sz w:val="14"/>
        </w:rPr>
        <w:t xml:space="preserve">practice, as well as an in-depth exploration of different actors struggles to persuade others to accept the hegemony of a particular storyline or discourse. This approach enables the </w:t>
      </w:r>
      <w:r w:rsidR="00773D20">
        <w:rPr>
          <w:rFonts w:ascii="Arial"/>
          <w:sz w:val="14"/>
        </w:rPr>
        <w:t>researcher to examine the politics and fantasies that sustain or contest</w:t>
      </w:r>
      <w:r w:rsidR="000A528C">
        <w:rPr>
          <w:rFonts w:ascii="Arial"/>
          <w:sz w:val="14"/>
        </w:rPr>
        <w:t xml:space="preserve"> </w:t>
      </w:r>
      <w:r w:rsidR="00773D20">
        <w:rPr>
          <w:rFonts w:ascii="Arial"/>
          <w:sz w:val="14"/>
        </w:rPr>
        <w:t>policy discourses.</w:t>
      </w:r>
    </w:p>
    <w:p w14:paraId="377CDCDA" w14:textId="77777777" w:rsidR="007C69B4" w:rsidRDefault="007C69B4">
      <w:pPr>
        <w:spacing w:before="41" w:line="154" w:lineRule="exact"/>
        <w:ind w:left="213" w:right="231"/>
        <w:jc w:val="both"/>
        <w:rPr>
          <w:rFonts w:ascii="Arial"/>
          <w:sz w:val="14"/>
        </w:rPr>
      </w:pPr>
    </w:p>
    <w:p w14:paraId="4C3155E9" w14:textId="77777777" w:rsidR="00AE3E37" w:rsidRDefault="00A9710C">
      <w:pPr>
        <w:spacing w:before="62"/>
        <w:ind w:left="4217" w:right="4235"/>
        <w:jc w:val="center"/>
        <w:rPr>
          <w:rFonts w:ascii="Arial"/>
          <w:sz w:val="14"/>
        </w:rPr>
      </w:pPr>
      <w:r>
        <w:rPr>
          <w:rFonts w:ascii="Arial"/>
          <w:sz w:val="14"/>
        </w:rPr>
        <w:t xml:space="preserve">Email: </w:t>
      </w:r>
      <w:r w:rsidR="004A5CC8">
        <w:rPr>
          <w:rFonts w:ascii="Arial"/>
          <w:sz w:val="14"/>
        </w:rPr>
        <w:t>nickey.rooke@</w:t>
      </w:r>
      <w:r w:rsidR="00E70A9A">
        <w:rPr>
          <w:rFonts w:ascii="Arial"/>
          <w:sz w:val="14"/>
        </w:rPr>
        <w:t>uea.ac.uk</w:t>
      </w:r>
    </w:p>
    <w:p w14:paraId="1BB9A6C3"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C3EA683" wp14:editId="7A86AD8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C3F3585" w14:textId="77777777" w:rsidR="00AE3E37" w:rsidRDefault="00AE3E37">
      <w:pPr>
        <w:pStyle w:val="BodyText"/>
        <w:rPr>
          <w:rFonts w:ascii="Arial"/>
          <w:sz w:val="20"/>
        </w:rPr>
      </w:pPr>
    </w:p>
    <w:p w14:paraId="5FF50F5F" w14:textId="77777777" w:rsidR="00AE3E37" w:rsidRPr="00B21A57" w:rsidRDefault="00A9710C">
      <w:pPr>
        <w:spacing w:before="39"/>
        <w:ind w:left="100"/>
        <w:rPr>
          <w:rFonts w:ascii="Minion Pro"/>
          <w:b/>
          <w:sz w:val="20"/>
        </w:rPr>
      </w:pPr>
      <w:r w:rsidRPr="00B21A57">
        <w:rPr>
          <w:rFonts w:ascii="Minion Pro"/>
          <w:b/>
          <w:sz w:val="20"/>
        </w:rPr>
        <w:t>Notes/Comments:</w:t>
      </w:r>
    </w:p>
    <w:p w14:paraId="575BAA7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2A79A34" w14:textId="77777777" w:rsidR="00AE3E37" w:rsidRDefault="00AE3E37">
      <w:pPr>
        <w:pStyle w:val="BodyText"/>
        <w:spacing w:before="3"/>
        <w:rPr>
          <w:rFonts w:ascii="Minion Pro"/>
          <w:sz w:val="26"/>
        </w:rPr>
      </w:pPr>
    </w:p>
    <w:sectPr w:rsidR="00AE3E37" w:rsidSect="00C75B35">
      <w:type w:val="continuous"/>
      <w:pgSz w:w="11910" w:h="16840"/>
      <w:pgMar w:top="1124"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9C735A" w14:textId="77777777" w:rsidR="00A9573A" w:rsidRDefault="00A9573A">
      <w:r>
        <w:separator/>
      </w:r>
    </w:p>
  </w:endnote>
  <w:endnote w:type="continuationSeparator" w:id="0">
    <w:p w14:paraId="503BFF86" w14:textId="77777777" w:rsidR="00A9573A" w:rsidRDefault="00A95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02FF" w:usb1="5000785B" w:usb2="00000000" w:usb3="00000000" w:csb0="0000019F" w:csb1="00000000"/>
  </w:font>
  <w:font w:name="ヒラギノ角ゴ Pro W3">
    <w:charset w:val="80"/>
    <w:family w:val="swiss"/>
    <w:pitch w:val="variable"/>
    <w:sig w:usb0="E00002FF" w:usb1="7AC7FFFF" w:usb2="00000012" w:usb3="00000000" w:csb0="0002000D"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7458E" w14:textId="52AC3B32"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212A119D" wp14:editId="3467D1D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2DD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60F4A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A119D" id="_x0000_t202" coordsize="21600,21600" o:spt="202" path="m0,0l0,21600,21600,21600,2160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A5tRlorgIAALAFAAAOAAAA&#10;AAAAAAAAAAAAACwCAABkcnMvZTJvRG9jLnhtbFBLAQItABQABgAIAAAAIQB1qR+d4QAAAA0BAAAP&#10;AAAAAAAAAAAAAAAAAAYFAABkcnMvZG93bnJldi54bWxQSwUGAAAAAAQABADzAAAAFAYAAAAA&#10;" filled="f" stroked="f">
              <v:textbox inset="0,0,0,0">
                <w:txbxContent>
                  <w:p w14:paraId="75E2DDB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60F4A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C34D9F" w14:textId="77777777" w:rsidR="00A9573A" w:rsidRDefault="00A9573A">
      <w:r>
        <w:separator/>
      </w:r>
    </w:p>
  </w:footnote>
  <w:footnote w:type="continuationSeparator" w:id="0">
    <w:p w14:paraId="649E40F4" w14:textId="77777777" w:rsidR="00A9573A" w:rsidRDefault="00A9573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4F97A" w14:textId="0DEB1049"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566CA866" wp14:editId="0DDC83C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6421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22E51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CA866"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CsHvj9rgIAAKoFAAAOAAAAAAAA&#10;AAAAAAAAACwCAABkcnMvZTJvRG9jLnhtbFBLAQItABQABgAIAAAAIQC9kUAW3gAAAAoBAAAPAAAA&#10;AAAAAAAAAAAAAAYFAABkcnMvZG93bnJldi54bWxQSwUGAAAAAAQABADzAAAAEQYAAAAA&#10;" filled="f" stroked="f">
              <v:textbox inset="0,0,0,0">
                <w:txbxContent>
                  <w:p w14:paraId="3706421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22E51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F3F08"/>
    <w:multiLevelType w:val="hybridMultilevel"/>
    <w:tmpl w:val="A5A2BD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528C"/>
    <w:rsid w:val="000E2911"/>
    <w:rsid w:val="001263DF"/>
    <w:rsid w:val="001E763C"/>
    <w:rsid w:val="00250C56"/>
    <w:rsid w:val="00292ED9"/>
    <w:rsid w:val="00314AFB"/>
    <w:rsid w:val="003A0BD4"/>
    <w:rsid w:val="003B76D9"/>
    <w:rsid w:val="00404E5B"/>
    <w:rsid w:val="00414F7B"/>
    <w:rsid w:val="004355DC"/>
    <w:rsid w:val="00451E21"/>
    <w:rsid w:val="004749B4"/>
    <w:rsid w:val="00494130"/>
    <w:rsid w:val="004A5CC8"/>
    <w:rsid w:val="004F3523"/>
    <w:rsid w:val="005973B9"/>
    <w:rsid w:val="005B3A56"/>
    <w:rsid w:val="006060CE"/>
    <w:rsid w:val="0063497F"/>
    <w:rsid w:val="00773D20"/>
    <w:rsid w:val="0078738A"/>
    <w:rsid w:val="007B4C4A"/>
    <w:rsid w:val="007C69B4"/>
    <w:rsid w:val="00873DF0"/>
    <w:rsid w:val="008756E6"/>
    <w:rsid w:val="0094198E"/>
    <w:rsid w:val="009B2D44"/>
    <w:rsid w:val="00A07E82"/>
    <w:rsid w:val="00A44BDC"/>
    <w:rsid w:val="00A6764E"/>
    <w:rsid w:val="00A9573A"/>
    <w:rsid w:val="00A9710C"/>
    <w:rsid w:val="00AE3E37"/>
    <w:rsid w:val="00B21A57"/>
    <w:rsid w:val="00C24BE2"/>
    <w:rsid w:val="00C33602"/>
    <w:rsid w:val="00C41EC9"/>
    <w:rsid w:val="00C75B35"/>
    <w:rsid w:val="00CD6F55"/>
    <w:rsid w:val="00CE7985"/>
    <w:rsid w:val="00D62425"/>
    <w:rsid w:val="00DE3104"/>
    <w:rsid w:val="00E136C9"/>
    <w:rsid w:val="00E70A9A"/>
    <w:rsid w:val="00EF3E10"/>
    <w:rsid w:val="00F52246"/>
    <w:rsid w:val="00F72EEA"/>
    <w:rsid w:val="00F8136A"/>
    <w:rsid w:val="00F84CAE"/>
    <w:rsid w:val="00F907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DE8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4A5CC8"/>
    <w:pPr>
      <w:widowControl/>
      <w:autoSpaceDE w:val="0"/>
      <w:autoSpaceDN w:val="0"/>
      <w:adjustRightInd w:val="0"/>
    </w:pPr>
    <w:rPr>
      <w:rFonts w:ascii="Arial" w:eastAsia="Times New Roman" w:hAnsi="Arial" w:cs="Arial"/>
      <w:color w:val="000000"/>
      <w:sz w:val="24"/>
      <w:szCs w:val="24"/>
    </w:rPr>
  </w:style>
  <w:style w:type="character" w:styleId="Strong">
    <w:name w:val="Strong"/>
    <w:basedOn w:val="DefaultParagraphFont"/>
    <w:qFormat/>
    <w:rsid w:val="004A5CC8"/>
    <w:rPr>
      <w:rFonts w:cs="Times New Roman"/>
      <w:b/>
      <w:bCs/>
    </w:rPr>
  </w:style>
  <w:style w:type="character" w:customStyle="1" w:styleId="apple-converted-space">
    <w:name w:val="apple-converted-space"/>
    <w:basedOn w:val="DefaultParagraphFont"/>
    <w:rsid w:val="00A44BDC"/>
  </w:style>
  <w:style w:type="paragraph" w:customStyle="1" w:styleId="Body">
    <w:name w:val="Body"/>
    <w:rsid w:val="00CE7985"/>
    <w:pPr>
      <w:widowControl/>
    </w:pPr>
    <w:rPr>
      <w:rFonts w:ascii="Helvetica" w:eastAsia="ヒラギノ角ゴ Pro W3" w:hAnsi="Helvetica" w:cs="Times New Roman"/>
      <w:color w:val="000000"/>
      <w:sz w:val="24"/>
      <w:szCs w:val="20"/>
    </w:rPr>
  </w:style>
  <w:style w:type="paragraph" w:customStyle="1" w:styleId="FreeFormA">
    <w:name w:val="Free Form A"/>
    <w:rsid w:val="00E136C9"/>
    <w:pPr>
      <w:widowControl/>
    </w:pPr>
    <w:rPr>
      <w:rFonts w:ascii="Helvetica" w:eastAsia="ヒラギノ角ゴ Pro W3" w:hAnsi="Helvetica"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268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9793339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626</Words>
  <Characters>3571</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Nickey Rooke</cp:lastModifiedBy>
  <cp:revision>2</cp:revision>
  <dcterms:created xsi:type="dcterms:W3CDTF">2018-12-30T15:45:00Z</dcterms:created>
  <dcterms:modified xsi:type="dcterms:W3CDTF">2018-12-30T15:45:00Z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