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67073" w:rsidRPr="00767073" w:rsidRDefault="00767073" w:rsidP="00767073">
      <w:pPr>
        <w:autoSpaceDE w:val="0"/>
        <w:autoSpaceDN w:val="0"/>
        <w:adjustRightInd w:val="0"/>
        <w:spacing w:after="0" w:line="240" w:lineRule="auto"/>
        <w:jc w:val="both"/>
        <w:rPr>
          <w:rFonts w:ascii="AdobeFangsongStd-Regular" w:eastAsia="AdobeFangsongStd-Regular" w:cs="AdobeFangsongStd-Regular"/>
          <w:sz w:val="24"/>
          <w:szCs w:val="24"/>
        </w:rPr>
      </w:pPr>
      <w:r w:rsidRPr="00767073">
        <w:rPr>
          <w:rFonts w:ascii="AdobeFangsongStd-Regular" w:eastAsia="AdobeFangsongStd-Regular" w:cs="AdobeFangsongStd-Regular"/>
          <w:sz w:val="24"/>
          <w:szCs w:val="24"/>
        </w:rPr>
        <w:t>Evaluation and Comparison of Stability and Reliability of CBC Parameters</w:t>
      </w:r>
      <w:r>
        <w:rPr>
          <w:rFonts w:ascii="AdobeFangsongStd-Regular" w:eastAsia="AdobeFangsongStd-Regular" w:cs="AdobeFangsongStd-Regular"/>
          <w:sz w:val="24"/>
          <w:szCs w:val="24"/>
        </w:rPr>
        <w:t xml:space="preserve"> </w:t>
      </w:r>
      <w:r w:rsidRPr="00767073">
        <w:rPr>
          <w:rFonts w:ascii="AdobeFangsongStd-Regular" w:eastAsia="AdobeFangsongStd-Regular" w:cs="AdobeFangsongStd-Regular"/>
          <w:sz w:val="24"/>
          <w:szCs w:val="24"/>
        </w:rPr>
        <w:t xml:space="preserve">Determined by Using Automatic </w:t>
      </w:r>
      <w:proofErr w:type="spellStart"/>
      <w:r w:rsidRPr="00767073">
        <w:rPr>
          <w:rFonts w:ascii="AdobeFangsongStd-Regular" w:eastAsia="AdobeFangsongStd-Regular" w:cs="AdobeFangsongStd-Regular"/>
          <w:sz w:val="24"/>
          <w:szCs w:val="24"/>
        </w:rPr>
        <w:t>Celltac</w:t>
      </w:r>
      <w:proofErr w:type="spellEnd"/>
      <w:r w:rsidRPr="00767073">
        <w:rPr>
          <w:rFonts w:ascii="AdobeFangsongStd-Regular" w:eastAsia="AdobeFangsongStd-Regular" w:cs="AdobeFangsongStd-Regular"/>
          <w:sz w:val="24"/>
          <w:szCs w:val="24"/>
        </w:rPr>
        <w:t xml:space="preserve"> G MEK-9100 Hematology</w:t>
      </w:r>
      <w:r>
        <w:rPr>
          <w:rFonts w:ascii="AdobeFangsongStd-Regular" w:eastAsia="AdobeFangsongStd-Regular" w:cs="AdobeFangsongStd-Regular"/>
          <w:sz w:val="24"/>
          <w:szCs w:val="24"/>
        </w:rPr>
        <w:t xml:space="preserve"> </w:t>
      </w:r>
      <w:r w:rsidRPr="00767073">
        <w:rPr>
          <w:rFonts w:ascii="AdobeFangsongStd-Regular" w:eastAsia="AdobeFangsongStd-Regular" w:cs="AdobeFangsongStd-Regular"/>
          <w:sz w:val="24"/>
          <w:szCs w:val="24"/>
        </w:rPr>
        <w:t>Analyzer during Extended Storage at 4</w:t>
      </w:r>
      <w:r w:rsidRPr="00767073">
        <w:rPr>
          <w:rFonts w:ascii="AdobeFangsongStd-Regular" w:eastAsia="AdobeFangsongStd-Regular" w:cs="AdobeFangsongStd-Regular" w:hint="eastAsia"/>
          <w:sz w:val="24"/>
          <w:szCs w:val="24"/>
        </w:rPr>
        <w:t>°</w:t>
      </w:r>
      <w:r w:rsidRPr="00767073">
        <w:rPr>
          <w:rFonts w:ascii="AdobeFangsongStd-Regular" w:eastAsia="AdobeFangsongStd-Regular" w:cs="AdobeFangsongStd-Regular"/>
          <w:sz w:val="24"/>
          <w:szCs w:val="24"/>
        </w:rPr>
        <w:t>C</w:t>
      </w:r>
    </w:p>
    <w:p w:rsidR="00767073" w:rsidRDefault="00767073" w:rsidP="00767073">
      <w:pPr>
        <w:autoSpaceDE w:val="0"/>
        <w:autoSpaceDN w:val="0"/>
        <w:adjustRightInd w:val="0"/>
        <w:spacing w:after="0" w:line="360" w:lineRule="auto"/>
        <w:jc w:val="both"/>
        <w:rPr>
          <w:rFonts w:ascii="Arial-BoldMT" w:hAnsi="Arial-BoldMT" w:cs="Arial-BoldMT"/>
          <w:b/>
          <w:bCs/>
          <w:sz w:val="18"/>
          <w:szCs w:val="18"/>
        </w:rPr>
      </w:pPr>
    </w:p>
    <w:p w:rsidR="00767073" w:rsidRDefault="00767073" w:rsidP="00767073">
      <w:pPr>
        <w:autoSpaceDE w:val="0"/>
        <w:autoSpaceDN w:val="0"/>
        <w:adjustRightInd w:val="0"/>
        <w:spacing w:after="0" w:line="360" w:lineRule="auto"/>
        <w:jc w:val="both"/>
        <w:rPr>
          <w:rFonts w:ascii="Arial-BoldMT" w:hAnsi="Arial-BoldMT" w:cs="Arial-BoldMT"/>
          <w:b/>
          <w:bCs/>
          <w:sz w:val="18"/>
          <w:szCs w:val="18"/>
        </w:rPr>
      </w:pPr>
      <w:r>
        <w:rPr>
          <w:rFonts w:ascii="Arial-BoldMT" w:hAnsi="Arial-BoldMT" w:cs="Arial-BoldMT"/>
          <w:b/>
          <w:bCs/>
          <w:sz w:val="18"/>
          <w:szCs w:val="18"/>
        </w:rPr>
        <w:t>Abstract</w:t>
      </w:r>
    </w:p>
    <w:p w:rsidR="00767073" w:rsidRDefault="00767073" w:rsidP="00767073">
      <w:pPr>
        <w:autoSpaceDE w:val="0"/>
        <w:autoSpaceDN w:val="0"/>
        <w:adjustRightInd w:val="0"/>
        <w:spacing w:after="0" w:line="360" w:lineRule="auto"/>
        <w:jc w:val="both"/>
        <w:rPr>
          <w:rFonts w:ascii="ArialMT" w:hAnsi="ArialMT" w:cs="ArialMT"/>
          <w:sz w:val="16"/>
          <w:szCs w:val="16"/>
        </w:rPr>
      </w:pPr>
      <w:r>
        <w:rPr>
          <w:rFonts w:ascii="Arial-BoldMT" w:hAnsi="Arial-BoldMT" w:cs="Arial-BoldMT"/>
          <w:b/>
          <w:bCs/>
          <w:sz w:val="16"/>
          <w:szCs w:val="16"/>
        </w:rPr>
        <w:t xml:space="preserve">Introduction: </w:t>
      </w:r>
      <w:r>
        <w:rPr>
          <w:rFonts w:ascii="ArialMT" w:hAnsi="ArialMT" w:cs="ArialMT"/>
          <w:sz w:val="16"/>
          <w:szCs w:val="16"/>
        </w:rPr>
        <w:t>Sample stability is necessary for the maintenance of the quality for the final results obtained at different storage time intervals during CBC analysis. In our present study, we have evaluated the stability of various CBC parameters of blood samples stored in k2-EDTA (BD) vials at 4°C (extended storage time: 10 days).</w:t>
      </w:r>
    </w:p>
    <w:p w:rsidR="00767073" w:rsidRDefault="00767073" w:rsidP="00767073">
      <w:pPr>
        <w:autoSpaceDE w:val="0"/>
        <w:autoSpaceDN w:val="0"/>
        <w:adjustRightInd w:val="0"/>
        <w:spacing w:after="0" w:line="360" w:lineRule="auto"/>
        <w:jc w:val="both"/>
        <w:rPr>
          <w:rFonts w:ascii="ArialMT" w:hAnsi="ArialMT" w:cs="ArialMT"/>
          <w:sz w:val="16"/>
          <w:szCs w:val="16"/>
        </w:rPr>
      </w:pPr>
      <w:r>
        <w:rPr>
          <w:rFonts w:ascii="Arial-BoldMT" w:hAnsi="Arial-BoldMT" w:cs="Arial-BoldMT"/>
          <w:b/>
          <w:bCs/>
          <w:sz w:val="16"/>
          <w:szCs w:val="16"/>
        </w:rPr>
        <w:t xml:space="preserve">Materials and methods: </w:t>
      </w:r>
      <w:r>
        <w:rPr>
          <w:rFonts w:ascii="ArialMT" w:hAnsi="ArialMT" w:cs="ArialMT"/>
          <w:sz w:val="16"/>
          <w:szCs w:val="16"/>
        </w:rPr>
        <w:t>Blood sample (2.5 ml) was drawn directly in K2-EDTA vials. Measurements were done by using MEK-9100 hematology analyzer at regular intervals over an extended period up to 246 h (10 days). Significant differences were analyzed by Paired student’s t-test. Mean percent differences of the all intervals were</w:t>
      </w:r>
    </w:p>
    <w:p w:rsidR="00767073" w:rsidRDefault="00767073" w:rsidP="00767073">
      <w:pPr>
        <w:autoSpaceDE w:val="0"/>
        <w:autoSpaceDN w:val="0"/>
        <w:adjustRightInd w:val="0"/>
        <w:spacing w:after="0" w:line="360" w:lineRule="auto"/>
        <w:jc w:val="both"/>
        <w:rPr>
          <w:rFonts w:ascii="ArialMT" w:hAnsi="ArialMT" w:cs="ArialMT"/>
          <w:sz w:val="16"/>
          <w:szCs w:val="16"/>
        </w:rPr>
      </w:pPr>
      <w:proofErr w:type="gramStart"/>
      <w:r>
        <w:rPr>
          <w:rFonts w:ascii="ArialMT" w:hAnsi="ArialMT" w:cs="ArialMT"/>
          <w:sz w:val="16"/>
          <w:szCs w:val="16"/>
        </w:rPr>
        <w:t>compared</w:t>
      </w:r>
      <w:proofErr w:type="gramEnd"/>
      <w:r>
        <w:rPr>
          <w:rFonts w:ascii="ArialMT" w:hAnsi="ArialMT" w:cs="ArialMT"/>
          <w:sz w:val="16"/>
          <w:szCs w:val="16"/>
        </w:rPr>
        <w:t xml:space="preserve"> with baseline means. </w:t>
      </w:r>
    </w:p>
    <w:p w:rsidR="00767073" w:rsidRDefault="00767073" w:rsidP="00767073">
      <w:pPr>
        <w:autoSpaceDE w:val="0"/>
        <w:autoSpaceDN w:val="0"/>
        <w:adjustRightInd w:val="0"/>
        <w:spacing w:after="0" w:line="360" w:lineRule="auto"/>
        <w:jc w:val="both"/>
        <w:rPr>
          <w:rFonts w:ascii="ArialMT" w:hAnsi="ArialMT" w:cs="ArialMT"/>
          <w:sz w:val="16"/>
          <w:szCs w:val="16"/>
        </w:rPr>
      </w:pPr>
      <w:r>
        <w:rPr>
          <w:rFonts w:ascii="Arial-BoldMT" w:hAnsi="Arial-BoldMT" w:cs="Arial-BoldMT"/>
          <w:b/>
          <w:bCs/>
          <w:sz w:val="16"/>
          <w:szCs w:val="16"/>
        </w:rPr>
        <w:t xml:space="preserve">Results: </w:t>
      </w:r>
      <w:r>
        <w:rPr>
          <w:rFonts w:ascii="ArialMT" w:hAnsi="ArialMT" w:cs="ArialMT"/>
          <w:sz w:val="16"/>
          <w:szCs w:val="16"/>
        </w:rPr>
        <w:t xml:space="preserve">Among CBC parameters, WBC count was stable for up to 126 </w:t>
      </w:r>
      <w:proofErr w:type="gramStart"/>
      <w:r>
        <w:rPr>
          <w:rFonts w:ascii="ArialMT" w:hAnsi="ArialMT" w:cs="ArialMT"/>
          <w:sz w:val="16"/>
          <w:szCs w:val="16"/>
        </w:rPr>
        <w:t>h,</w:t>
      </w:r>
      <w:proofErr w:type="gramEnd"/>
      <w:r>
        <w:rPr>
          <w:rFonts w:ascii="ArialMT" w:hAnsi="ArialMT" w:cs="ArialMT"/>
          <w:sz w:val="16"/>
          <w:szCs w:val="16"/>
        </w:rPr>
        <w:t xml:space="preserve"> RBC and HGB levels were statistically stable for up to 186 h and 90 h. No significant changes were observed in NE, LY, MO, EO and BA for up to 42 h, 42 h, 66 h, 66 h, and 6 h respectively. PLT counts were stable for 6 h. Furthermore, results of HCT, MCV, MCH, MCHC, RDW-CV, RDW-S, PCT and MPV were statistically stable for up to 54 h, 42 h, 18 h, 30 h, 42 h, 30 h, 6 h and 6 h respectively. </w:t>
      </w:r>
    </w:p>
    <w:p w:rsidR="00767073" w:rsidRDefault="00767073" w:rsidP="00767073">
      <w:pPr>
        <w:autoSpaceDE w:val="0"/>
        <w:autoSpaceDN w:val="0"/>
        <w:adjustRightInd w:val="0"/>
        <w:spacing w:after="0" w:line="360" w:lineRule="auto"/>
        <w:jc w:val="both"/>
        <w:rPr>
          <w:rFonts w:ascii="Arial-BoldMT" w:hAnsi="Arial-BoldMT" w:cs="Arial-BoldMT"/>
          <w:sz w:val="20"/>
          <w:szCs w:val="20"/>
        </w:rPr>
      </w:pPr>
      <w:r>
        <w:rPr>
          <w:rFonts w:ascii="Arial-BoldMT" w:hAnsi="Arial-BoldMT" w:cs="Arial-BoldMT"/>
          <w:b/>
          <w:bCs/>
          <w:sz w:val="16"/>
          <w:szCs w:val="16"/>
        </w:rPr>
        <w:t xml:space="preserve">Conclusion: </w:t>
      </w:r>
      <w:r>
        <w:rPr>
          <w:rFonts w:ascii="ArialMT" w:hAnsi="ArialMT" w:cs="ArialMT"/>
          <w:sz w:val="16"/>
          <w:szCs w:val="16"/>
        </w:rPr>
        <w:t xml:space="preserve">Estimation of RBC, WBC and HGB were qualitatively reliable ~186 h, 126 h and 90 h respectively. However, most parameters of CBC were unchanged ~48 h except for the PLT (6 h). To avoid changes in </w:t>
      </w:r>
      <w:proofErr w:type="gramStart"/>
      <w:r>
        <w:rPr>
          <w:rFonts w:ascii="ArialMT" w:hAnsi="ArialMT" w:cs="ArialMT"/>
          <w:sz w:val="16"/>
          <w:szCs w:val="16"/>
        </w:rPr>
        <w:t>few  parameters</w:t>
      </w:r>
      <w:proofErr w:type="gramEnd"/>
      <w:r>
        <w:rPr>
          <w:rFonts w:ascii="ArialMT" w:hAnsi="ArialMT" w:cs="ArialMT"/>
          <w:sz w:val="16"/>
          <w:szCs w:val="16"/>
        </w:rPr>
        <w:t>, such as MPV, basophiles, it is best to store the sample at 4°C if any delay is anticipated.</w:t>
      </w:r>
    </w:p>
    <w:p w:rsidR="00000000" w:rsidRDefault="00767073" w:rsidP="00767073">
      <w:pPr>
        <w:spacing w:line="360" w:lineRule="auto"/>
      </w:pPr>
    </w:p>
    <w:sectPr w:rsidR="00000000" w:rsidSect="000C4FA6">
      <w:pgSz w:w="12240" w:h="15840"/>
      <w:pgMar w:top="1440" w:right="1440" w:bottom="1440" w:left="1440" w:header="720" w:footer="720" w:gutter="0"/>
      <w:cols w:space="720"/>
      <w:noEndnote/>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dobeFangsongStd-Regular">
    <w:altName w:val="Arial Unicode MS"/>
    <w:panose1 w:val="00000000000000000000"/>
    <w:charset w:val="86"/>
    <w:family w:val="auto"/>
    <w:notTrueType/>
    <w:pitch w:val="default"/>
    <w:sig w:usb0="00000000" w:usb1="080E0000" w:usb2="00000010" w:usb3="00000000" w:csb0="00040000" w:csb1="00000000"/>
  </w:font>
  <w:font w:name="Arial-BoldMT">
    <w:panose1 w:val="00000000000000000000"/>
    <w:charset w:val="00"/>
    <w:family w:val="auto"/>
    <w:notTrueType/>
    <w:pitch w:val="default"/>
    <w:sig w:usb0="00000003" w:usb1="00000000" w:usb2="00000000" w:usb3="00000000" w:csb0="00000001" w:csb1="00000000"/>
  </w:font>
  <w:font w:name="ArialMT">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hideSpellingErrors/>
  <w:hideGrammaticalErrors/>
  <w:proofState w:spelling="clean" w:grammar="clean"/>
  <w:defaultTabStop w:val="720"/>
  <w:characterSpacingControl w:val="doNotCompress"/>
  <w:compat>
    <w:useFELayout/>
  </w:compat>
  <w:rsids>
    <w:rsidRoot w:val="00767073"/>
    <w:rsid w:val="0076707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F499370-ECCE-4B94-B5F4-E4BC716795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246</Words>
  <Characters>1408</Characters>
  <Application>Microsoft Office Word</Application>
  <DocSecurity>0</DocSecurity>
  <Lines>11</Lines>
  <Paragraphs>3</Paragraphs>
  <ScaleCrop>false</ScaleCrop>
  <Company/>
  <LinksUpToDate>false</LinksUpToDate>
  <CharactersWithSpaces>1651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DR_RUBAIDA</dc:creator>
  <cp:keywords/>
  <dc:description/>
  <cp:lastModifiedBy>DR_RUBAIDA</cp:lastModifiedBy>
  <cp:revision>2</cp:revision>
  <dcterms:created xsi:type="dcterms:W3CDTF">2018-11-13T09:26:00Z</dcterms:created>
  <dcterms:modified xsi:type="dcterms:W3CDTF">2018-11-13T09:28:00Z</dcterms:modified>
</cp:coreProperties>
</file>