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20D3" w:rsidRDefault="008220D3" w:rsidP="008220D3">
      <w:pPr>
        <w:widowControl w:val="0"/>
        <w:shd w:val="clear" w:color="auto" w:fill="FFFFFF"/>
        <w:spacing w:after="101" w:line="400" w:lineRule="exact"/>
        <w:ind w:left="100"/>
        <w:textAlignment w:val="baseline"/>
        <w:outlineLvl w:val="0"/>
        <w:rPr>
          <w:rFonts w:ascii="Minion Pro" w:eastAsia="Minion Pro" w:hAnsi="Minion Pro" w:cs="Minion Pro"/>
          <w:b/>
          <w:bCs/>
          <w:color w:val="337AB7"/>
          <w:sz w:val="36"/>
          <w:szCs w:val="36"/>
        </w:rPr>
      </w:pPr>
      <w:r w:rsidRPr="008220D3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Pregnancy outcomes among Syrian refugee and Jordanian Women: a comparative study </w:t>
      </w:r>
    </w:p>
    <w:p w:rsidR="007A410E" w:rsidRPr="008220D3" w:rsidRDefault="007A410E" w:rsidP="008220D3">
      <w:pPr>
        <w:widowControl w:val="0"/>
        <w:shd w:val="clear" w:color="auto" w:fill="FFFFFF"/>
        <w:spacing w:after="101" w:line="400" w:lineRule="exact"/>
        <w:ind w:left="100"/>
        <w:textAlignment w:val="baseline"/>
        <w:outlineLvl w:val="0"/>
        <w:rPr>
          <w:rFonts w:asciiTheme="majorBidi" w:eastAsia="Minion Pro" w:hAnsiTheme="majorBidi" w:cstheme="majorBidi"/>
          <w:sz w:val="24"/>
          <w:szCs w:val="24"/>
        </w:rPr>
      </w:pPr>
      <w:proofErr w:type="spellStart"/>
      <w:r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Karimeh</w:t>
      </w:r>
      <w:proofErr w:type="spellEnd"/>
      <w:r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 </w:t>
      </w:r>
      <w:proofErr w:type="spellStart"/>
      <w:r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mousa</w:t>
      </w:r>
      <w:proofErr w:type="spellEnd"/>
      <w:r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 </w:t>
      </w:r>
      <w:proofErr w:type="spellStart"/>
      <w:r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Alnuaimi</w:t>
      </w:r>
      <w:proofErr w:type="spellEnd"/>
      <w:r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 PhD</w:t>
      </w:r>
    </w:p>
    <w:p w:rsidR="008220D3" w:rsidRPr="008220D3" w:rsidRDefault="008220D3" w:rsidP="008220D3">
      <w:pPr>
        <w:spacing w:after="0"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8220D3" w:rsidRPr="008220D3" w:rsidRDefault="008220D3" w:rsidP="008220D3">
      <w:pPr>
        <w:spacing w:after="0" w:line="480" w:lineRule="auto"/>
        <w:jc w:val="both"/>
        <w:rPr>
          <w:rFonts w:ascii="Tw Cen MT" w:hAnsi="Tw Cen MT" w:cstheme="majorBidi"/>
          <w:sz w:val="24"/>
          <w:szCs w:val="24"/>
        </w:rPr>
      </w:pPr>
      <w:r w:rsidRPr="008220D3">
        <w:rPr>
          <w:rFonts w:ascii="Tw Cen MT" w:hAnsi="Tw Cen MT" w:cstheme="majorBidi"/>
          <w:b/>
          <w:bCs/>
          <w:sz w:val="24"/>
          <w:szCs w:val="24"/>
        </w:rPr>
        <w:t>Aim</w:t>
      </w:r>
      <w:r w:rsidRPr="008220D3">
        <w:rPr>
          <w:rFonts w:ascii="Tw Cen MT" w:hAnsi="Tw Cen MT" w:cstheme="majorBidi"/>
          <w:sz w:val="24"/>
          <w:szCs w:val="24"/>
        </w:rPr>
        <w:t>: To compare pregnancy outcomes of Syrian refugee women and Jordanian women.</w:t>
      </w:r>
    </w:p>
    <w:p w:rsidR="008220D3" w:rsidRPr="008220D3" w:rsidRDefault="008220D3" w:rsidP="008220D3">
      <w:pPr>
        <w:autoSpaceDE w:val="0"/>
        <w:autoSpaceDN w:val="0"/>
        <w:adjustRightInd w:val="0"/>
        <w:spacing w:after="0" w:line="480" w:lineRule="auto"/>
        <w:jc w:val="both"/>
        <w:rPr>
          <w:rFonts w:ascii="Tw Cen MT" w:eastAsia="Times New Roman" w:hAnsi="Tw Cen MT" w:cstheme="majorBidi"/>
          <w:sz w:val="24"/>
          <w:szCs w:val="24"/>
        </w:rPr>
      </w:pPr>
      <w:r w:rsidRPr="008220D3">
        <w:rPr>
          <w:rFonts w:ascii="Tw Cen MT" w:hAnsi="Tw Cen MT" w:cstheme="majorBidi"/>
          <w:b/>
          <w:bCs/>
          <w:sz w:val="24"/>
          <w:szCs w:val="24"/>
        </w:rPr>
        <w:t>Background and introduction:</w:t>
      </w:r>
      <w:r w:rsidRPr="008220D3">
        <w:rPr>
          <w:rFonts w:ascii="Tw Cen MT" w:hAnsi="Tw Cen MT" w:cstheme="majorBidi"/>
          <w:sz w:val="24"/>
          <w:szCs w:val="24"/>
          <w:lang w:val="en-GB" w:eastAsia="en-GB"/>
        </w:rPr>
        <w:t xml:space="preserve"> </w:t>
      </w:r>
      <w:r w:rsidRPr="008220D3">
        <w:rPr>
          <w:rFonts w:ascii="Tw Cen MT" w:hAnsi="Tw Cen MT" w:cstheme="majorBidi"/>
          <w:sz w:val="24"/>
          <w:szCs w:val="24"/>
        </w:rPr>
        <w:t xml:space="preserve">The current conflict in Syria continues to displace thousands to neighboring countries, including Jordan. </w:t>
      </w:r>
      <w:r w:rsidRPr="008220D3">
        <w:rPr>
          <w:rFonts w:ascii="Tw Cen MT" w:hAnsi="Tw Cen MT" w:cs="Times New Roman"/>
          <w:sz w:val="24"/>
          <w:szCs w:val="24"/>
          <w:lang w:val="en-GB" w:eastAsia="en-GB"/>
        </w:rPr>
        <w:t>Pregnant refugee women are therefore facing many difficulties are known to increase the prevalence of poor reproductive health outcomes and</w:t>
      </w:r>
      <w:r w:rsidRPr="008220D3">
        <w:rPr>
          <w:rFonts w:ascii="Tw Cen MT" w:hAnsi="Tw Cen MT" w:cs="Times New Roman"/>
          <w:sz w:val="24"/>
          <w:szCs w:val="24"/>
        </w:rPr>
        <w:t xml:space="preserve"> antenatal complications.</w:t>
      </w:r>
      <w:r w:rsidRPr="008220D3">
        <w:rPr>
          <w:rFonts w:ascii="Tw Cen MT" w:hAnsi="Tw Cen MT" w:cstheme="majorBidi"/>
          <w:sz w:val="24"/>
          <w:szCs w:val="24"/>
        </w:rPr>
        <w:t xml:space="preserve"> However, there is very little awareness of whether Syrian refugee women have different risks of pregnancy outcomes than Jordanian women. </w:t>
      </w:r>
      <w:r w:rsidRPr="008220D3">
        <w:rPr>
          <w:rFonts w:ascii="Tw Cen MT" w:hAnsi="Tw Cen MT" w:cstheme="majorBidi"/>
          <w:b/>
          <w:bCs/>
          <w:sz w:val="24"/>
          <w:szCs w:val="24"/>
          <w:shd w:val="clear" w:color="auto" w:fill="FFFFFF"/>
        </w:rPr>
        <w:t>Methods</w:t>
      </w:r>
      <w:r w:rsidRPr="008220D3">
        <w:rPr>
          <w:rFonts w:ascii="Tw Cen MT" w:hAnsi="Tw Cen MT" w:cstheme="majorBidi"/>
          <w:sz w:val="24"/>
          <w:szCs w:val="24"/>
          <w:shd w:val="clear" w:color="auto" w:fill="FFFFFF"/>
        </w:rPr>
        <w:t xml:space="preserve">: Using a retrospective cohort design, we examined pregnancy outcomes for Syrian refugee </w:t>
      </w:r>
      <w:r w:rsidRPr="008220D3">
        <w:rPr>
          <w:rFonts w:ascii="Tw Cen MT" w:hAnsi="Tw Cen MT" w:cstheme="majorBidi"/>
          <w:sz w:val="24"/>
          <w:szCs w:val="24"/>
        </w:rPr>
        <w:t xml:space="preserve">(N = 616) </w:t>
      </w:r>
      <w:r w:rsidRPr="008220D3">
        <w:rPr>
          <w:rFonts w:ascii="Tw Cen MT" w:hAnsi="Tw Cen MT" w:cstheme="majorBidi"/>
          <w:sz w:val="24"/>
          <w:szCs w:val="24"/>
          <w:shd w:val="clear" w:color="auto" w:fill="FFFFFF"/>
        </w:rPr>
        <w:t xml:space="preserve">and Jordanian women </w:t>
      </w:r>
      <w:r w:rsidRPr="008220D3">
        <w:rPr>
          <w:rFonts w:ascii="Tw Cen MT" w:hAnsi="Tw Cen MT" w:cstheme="majorBidi"/>
          <w:sz w:val="24"/>
          <w:szCs w:val="24"/>
        </w:rPr>
        <w:t>(N = 644)</w:t>
      </w:r>
      <w:r w:rsidRPr="008220D3">
        <w:rPr>
          <w:rFonts w:ascii="Tw Cen MT" w:hAnsi="Tw Cen MT" w:cstheme="majorBidi"/>
          <w:sz w:val="24"/>
          <w:szCs w:val="24"/>
          <w:shd w:val="clear" w:color="auto" w:fill="FFFFFF"/>
        </w:rPr>
        <w:t xml:space="preserve"> giving birth at two governmental Hospitals in the north of Jordan, between January 1, 2014, and December 31, 2014. </w:t>
      </w:r>
      <w:r w:rsidRPr="008220D3">
        <w:rPr>
          <w:rFonts w:ascii="Tw Cen MT" w:eastAsia="Times New Roman" w:hAnsi="Tw Cen MT" w:cstheme="majorBidi"/>
          <w:sz w:val="24"/>
          <w:szCs w:val="24"/>
          <w:lang w:val="en-GB" w:eastAsia="en-GB"/>
        </w:rPr>
        <w:t xml:space="preserve">A </w:t>
      </w:r>
      <w:r w:rsidRPr="008220D3">
        <w:rPr>
          <w:rFonts w:ascii="Tw Cen MT" w:eastAsia="Times New Roman" w:hAnsi="Tw Cen MT" w:cstheme="majorBidi"/>
          <w:bCs/>
          <w:sz w:val="24"/>
          <w:szCs w:val="24"/>
          <w:lang w:val="en-GB" w:eastAsia="en-GB"/>
        </w:rPr>
        <w:t xml:space="preserve">checklist of </w:t>
      </w:r>
      <w:r w:rsidRPr="008220D3">
        <w:rPr>
          <w:rFonts w:ascii="Tw Cen MT" w:eastAsia="Times New Roman" w:hAnsi="Tw Cen MT" w:cstheme="majorBidi"/>
          <w:sz w:val="24"/>
          <w:szCs w:val="24"/>
          <w:lang w:val="en-GB" w:eastAsia="en-GB"/>
        </w:rPr>
        <w:t>13 variables</w:t>
      </w:r>
      <w:r w:rsidRPr="008220D3">
        <w:rPr>
          <w:rFonts w:ascii="Tw Cen MT" w:hAnsi="Tw Cen MT" w:cstheme="majorBidi"/>
          <w:sz w:val="24"/>
          <w:szCs w:val="24"/>
          <w:shd w:val="clear" w:color="auto" w:fill="FFFFFF"/>
        </w:rPr>
        <w:t xml:space="preserve"> was utilized. The primary outcome measures were delivery by Caesarean section, maternal complications, low birth weight (&lt; 2500 g), Apgar score and preterm delivery (&lt; 37 weeks' gestational age). </w:t>
      </w:r>
      <w:r w:rsidRPr="008220D3">
        <w:rPr>
          <w:rFonts w:ascii="Tw Cen MT" w:hAnsi="Tw Cen MT" w:cstheme="majorBidi"/>
          <w:b/>
          <w:bCs/>
          <w:sz w:val="24"/>
          <w:szCs w:val="24"/>
        </w:rPr>
        <w:t>Results</w:t>
      </w:r>
      <w:r w:rsidRPr="008220D3">
        <w:rPr>
          <w:rFonts w:ascii="Tw Cen MT" w:hAnsi="Tw Cen MT" w:cstheme="majorBidi"/>
          <w:sz w:val="24"/>
          <w:szCs w:val="24"/>
        </w:rPr>
        <w:t xml:space="preserve">: </w:t>
      </w:r>
      <w:r w:rsidRPr="008220D3">
        <w:rPr>
          <w:rFonts w:ascii="Tw Cen MT" w:eastAsia="Times New Roman" w:hAnsi="Tw Cen MT" w:cstheme="majorBidi"/>
          <w:bCs/>
          <w:sz w:val="24"/>
          <w:szCs w:val="24"/>
          <w:lang w:val="en-GB" w:eastAsia="en-GB"/>
        </w:rPr>
        <w:t xml:space="preserve">Statistical analysis revealed that refugee mothers had a significant increase in the rate of caesarean section and higher rate of </w:t>
      </w:r>
      <w:proofErr w:type="spellStart"/>
      <w:r w:rsidRPr="008220D3">
        <w:rPr>
          <w:rFonts w:ascii="Tw Cen MT" w:eastAsia="Times New Roman" w:hAnsi="Tw Cen MT" w:cstheme="majorBidi"/>
          <w:bCs/>
          <w:sz w:val="24"/>
          <w:szCs w:val="24"/>
          <w:lang w:val="en-GB" w:eastAsia="en-GB"/>
        </w:rPr>
        <w:t>anemia</w:t>
      </w:r>
      <w:proofErr w:type="spellEnd"/>
      <w:r w:rsidRPr="008220D3">
        <w:rPr>
          <w:rFonts w:ascii="Tw Cen MT" w:eastAsia="Times New Roman" w:hAnsi="Tw Cen MT" w:cstheme="majorBidi"/>
          <w:bCs/>
          <w:sz w:val="24"/>
          <w:szCs w:val="24"/>
          <w:lang w:val="en-GB" w:eastAsia="en-GB"/>
        </w:rPr>
        <w:t xml:space="preserve">, a lower neonates’ weight and Apgar scores when compared to their Jordanian counterparts. </w:t>
      </w:r>
      <w:r w:rsidRPr="008220D3">
        <w:rPr>
          <w:rFonts w:ascii="Tw Cen MT" w:hAnsi="Tw Cen MT" w:cstheme="majorBidi"/>
          <w:b/>
          <w:bCs/>
          <w:sz w:val="24"/>
          <w:szCs w:val="24"/>
        </w:rPr>
        <w:t>Discussion and Conclusion</w:t>
      </w:r>
      <w:r w:rsidRPr="008220D3">
        <w:rPr>
          <w:rFonts w:ascii="Tw Cen MT" w:hAnsi="Tw Cen MT" w:cstheme="majorBidi"/>
          <w:sz w:val="24"/>
          <w:szCs w:val="24"/>
        </w:rPr>
        <w:t>:</w:t>
      </w:r>
      <w:r w:rsidRPr="008220D3">
        <w:rPr>
          <w:rFonts w:ascii="Tw Cen MT" w:eastAsia="Times New Roman" w:hAnsi="Tw Cen MT" w:cstheme="majorBidi"/>
          <w:sz w:val="24"/>
          <w:szCs w:val="24"/>
        </w:rPr>
        <w:t xml:space="preserve"> Results were congruent with findings from other studies in the region and worldwide.</w:t>
      </w:r>
      <w:r w:rsidRPr="008220D3">
        <w:rPr>
          <w:rFonts w:ascii="Tw Cen MT" w:eastAsia="Times New Roman" w:hAnsi="Tw Cen MT" w:cstheme="majorBidi"/>
          <w:bCs/>
          <w:sz w:val="24"/>
          <w:szCs w:val="24"/>
          <w:lang w:val="en-GB" w:eastAsia="en-GB"/>
        </w:rPr>
        <w:t xml:space="preserve"> Minimizing inequalities in pregnancy outcomes between Syrian refugees and Jordan women is a health care priority. </w:t>
      </w:r>
      <w:r w:rsidRPr="008220D3">
        <w:rPr>
          <w:rFonts w:ascii="Tw Cen MT" w:eastAsia="Times New Roman" w:hAnsi="Tw Cen MT" w:cstheme="majorBidi"/>
          <w:b/>
          <w:bCs/>
          <w:sz w:val="24"/>
          <w:szCs w:val="24"/>
        </w:rPr>
        <w:t xml:space="preserve">Implications for nursing and health policy: </w:t>
      </w:r>
      <w:r w:rsidRPr="008220D3">
        <w:rPr>
          <w:rFonts w:ascii="Tw Cen MT" w:hAnsi="Tw Cen MT" w:cstheme="majorBidi"/>
          <w:sz w:val="24"/>
          <w:szCs w:val="24"/>
          <w:shd w:val="clear" w:color="auto" w:fill="FFFFFF"/>
        </w:rPr>
        <w:t>The findings</w:t>
      </w:r>
      <w:r w:rsidRPr="008220D3">
        <w:rPr>
          <w:rFonts w:ascii="Tw Cen MT" w:hAnsi="Tw Cen MT" w:cstheme="majorBidi"/>
          <w:sz w:val="24"/>
          <w:szCs w:val="24"/>
          <w:lang w:val="en-GB"/>
        </w:rPr>
        <w:t xml:space="preserve"> could guide the planning and development of health policies in Jordan that would help to alleviate the situation regarding refugee populations.</w:t>
      </w:r>
      <w:r w:rsidRPr="008220D3">
        <w:rPr>
          <w:rFonts w:ascii="Tw Cen MT" w:hAnsi="Tw Cen MT" w:cstheme="majorBidi"/>
          <w:sz w:val="24"/>
          <w:szCs w:val="24"/>
          <w:shd w:val="clear" w:color="auto" w:fill="FFFFFF"/>
        </w:rPr>
        <w:t xml:space="preserve"> Action is required by the policy makers, </w:t>
      </w:r>
      <w:r w:rsidRPr="008220D3">
        <w:rPr>
          <w:rFonts w:ascii="Tw Cen MT" w:hAnsi="Tw Cen MT" w:cstheme="majorBidi"/>
          <w:sz w:val="24"/>
          <w:szCs w:val="24"/>
          <w:shd w:val="clear" w:color="auto" w:fill="FFFFFF"/>
        </w:rPr>
        <w:lastRenderedPageBreak/>
        <w:t>sp</w:t>
      </w:r>
      <w:r w:rsidR="00C600D1">
        <w:rPr>
          <w:rFonts w:ascii="Tw Cen MT" w:hAnsi="Tw Cen MT" w:cstheme="majorBidi"/>
          <w:sz w:val="24"/>
          <w:szCs w:val="24"/>
          <w:shd w:val="clear" w:color="auto" w:fill="FFFFFF"/>
        </w:rPr>
        <w:t>ecifically targeting public and</w:t>
      </w:r>
      <w:r w:rsidR="0081603A">
        <w:rPr>
          <w:rFonts w:ascii="Tw Cen MT" w:hAnsi="Tw Cen MT" w:cstheme="majorBidi"/>
          <w:sz w:val="24"/>
          <w:szCs w:val="24"/>
          <w:shd w:val="clear" w:color="auto" w:fill="FFFFFF"/>
        </w:rPr>
        <w:t xml:space="preserve"> </w:t>
      </w:r>
      <w:r w:rsidRPr="008220D3">
        <w:rPr>
          <w:rFonts w:ascii="Tw Cen MT" w:hAnsi="Tw Cen MT" w:cstheme="majorBidi"/>
          <w:sz w:val="24"/>
          <w:szCs w:val="24"/>
          <w:shd w:val="clear" w:color="auto" w:fill="FFFFFF"/>
        </w:rPr>
        <w:t xml:space="preserve">primary health care services, to address the problem of adequately meeting the need for antenatal care of this vulnerable population. </w:t>
      </w:r>
    </w:p>
    <w:p w:rsidR="008220D3" w:rsidRPr="008220D3" w:rsidRDefault="008220D3" w:rsidP="008220D3">
      <w:pPr>
        <w:spacing w:line="480" w:lineRule="auto"/>
        <w:jc w:val="both"/>
        <w:rPr>
          <w:rFonts w:asciiTheme="majorBidi" w:hAnsiTheme="majorBidi" w:cstheme="majorBidi"/>
          <w:sz w:val="24"/>
          <w:szCs w:val="24"/>
          <w:lang w:val="en-GB"/>
        </w:rPr>
      </w:pPr>
    </w:p>
    <w:p w:rsidR="006F6763" w:rsidRDefault="00D01250">
      <w:pPr>
        <w:rPr>
          <w:rFonts w:asciiTheme="majorBidi" w:hAnsiTheme="majorBidi" w:cstheme="majorBidi"/>
          <w:sz w:val="24"/>
          <w:szCs w:val="24"/>
          <w:lang w:val="en-GB"/>
        </w:rPr>
      </w:pPr>
      <w:r w:rsidRPr="00D01250">
        <w:rPr>
          <w:rFonts w:asciiTheme="majorBidi" w:hAnsiTheme="majorBidi" w:cstheme="majorBidi"/>
          <w:b/>
          <w:bCs/>
          <w:sz w:val="24"/>
          <w:szCs w:val="24"/>
          <w:lang w:val="en-GB"/>
        </w:rPr>
        <w:t>Publications</w:t>
      </w:r>
      <w:r w:rsidR="007120CA" w:rsidRPr="007120CA">
        <w:rPr>
          <w:rFonts w:asciiTheme="majorBidi" w:hAnsiTheme="majorBidi" w:cstheme="majorBidi"/>
          <w:sz w:val="24"/>
          <w:szCs w:val="24"/>
          <w:lang w:val="en-GB"/>
        </w:rPr>
        <w:t>:</w:t>
      </w:r>
    </w:p>
    <w:p w:rsidR="00C600D1" w:rsidRDefault="00C600D1" w:rsidP="0081603A">
      <w:pPr>
        <w:widowControl w:val="0"/>
        <w:shd w:val="clear" w:color="auto" w:fill="FFFFFF"/>
        <w:spacing w:after="101" w:line="400" w:lineRule="exact"/>
        <w:textAlignment w:val="baseline"/>
        <w:outlineLvl w:val="0"/>
        <w:rPr>
          <w:rFonts w:ascii="Tw Cen MT" w:eastAsia="Minion Pro" w:hAnsi="Tw Cen MT" w:cs="Minion Pro"/>
          <w:b/>
          <w:bCs/>
          <w:sz w:val="24"/>
          <w:szCs w:val="24"/>
        </w:rPr>
      </w:pPr>
      <w:proofErr w:type="spellStart"/>
      <w:r w:rsidRPr="00C600D1">
        <w:rPr>
          <w:rFonts w:ascii="Tw Cen MT" w:eastAsia="Minion Pro" w:hAnsi="Tw Cen MT" w:cs="Minion Pro"/>
          <w:b/>
          <w:bCs/>
          <w:sz w:val="24"/>
          <w:szCs w:val="24"/>
        </w:rPr>
        <w:t>Alnuaimi</w:t>
      </w:r>
      <w:proofErr w:type="spellEnd"/>
      <w:r>
        <w:rPr>
          <w:rFonts w:ascii="Tw Cen MT" w:eastAsia="Minion Pro" w:hAnsi="Tw Cen MT" w:cs="Minion Pro"/>
          <w:b/>
          <w:bCs/>
          <w:sz w:val="24"/>
          <w:szCs w:val="24"/>
        </w:rPr>
        <w:t xml:space="preserve">, K, </w:t>
      </w:r>
      <w:proofErr w:type="spellStart"/>
      <w:r w:rsidRPr="00C600D1">
        <w:rPr>
          <w:rFonts w:ascii="Tw Cen MT" w:eastAsia="Minion Pro" w:hAnsi="Tw Cen MT" w:cs="Minion Pro"/>
          <w:sz w:val="24"/>
          <w:szCs w:val="24"/>
        </w:rPr>
        <w:t>Kassab</w:t>
      </w:r>
      <w:proofErr w:type="gramStart"/>
      <w:r w:rsidRPr="00C600D1">
        <w:rPr>
          <w:rFonts w:ascii="Tw Cen MT" w:eastAsia="Minion Pro" w:hAnsi="Tw Cen MT" w:cs="Minion Pro"/>
          <w:sz w:val="24"/>
          <w:szCs w:val="24"/>
        </w:rPr>
        <w:t>,M</w:t>
      </w:r>
      <w:proofErr w:type="spellEnd"/>
      <w:proofErr w:type="gramEnd"/>
      <w:r w:rsidRPr="00C600D1">
        <w:rPr>
          <w:rFonts w:ascii="Tw Cen MT" w:eastAsia="Minion Pro" w:hAnsi="Tw Cen MT" w:cs="Minion Pro"/>
          <w:sz w:val="24"/>
          <w:szCs w:val="24"/>
        </w:rPr>
        <w:t xml:space="preserve">, Ali, R, Mohammad, K, </w:t>
      </w:r>
      <w:proofErr w:type="spellStart"/>
      <w:r w:rsidRPr="00C600D1">
        <w:rPr>
          <w:rFonts w:ascii="Tw Cen MT" w:eastAsia="Minion Pro" w:hAnsi="Tw Cen MT" w:cs="Minion Pro"/>
          <w:sz w:val="24"/>
          <w:szCs w:val="24"/>
        </w:rPr>
        <w:t>Shattnawi</w:t>
      </w:r>
      <w:proofErr w:type="spellEnd"/>
      <w:r w:rsidRPr="00C600D1">
        <w:rPr>
          <w:rFonts w:ascii="Tw Cen MT" w:eastAsia="Minion Pro" w:hAnsi="Tw Cen MT" w:cs="Minion Pro"/>
          <w:sz w:val="24"/>
          <w:szCs w:val="24"/>
        </w:rPr>
        <w:t>, K (2017)</w:t>
      </w:r>
      <w:r w:rsidRPr="00C600D1">
        <w:rPr>
          <w:rFonts w:ascii="Tw Cen MT" w:eastAsia="Minion Pro" w:hAnsi="Tw Cen MT" w:cs="Minion Pro"/>
          <w:sz w:val="24"/>
          <w:szCs w:val="24"/>
        </w:rPr>
        <w:t xml:space="preserve"> </w:t>
      </w:r>
      <w:r w:rsidRPr="008220D3">
        <w:rPr>
          <w:rFonts w:ascii="Tw Cen MT" w:eastAsia="Minion Pro" w:hAnsi="Tw Cen MT" w:cs="Minion Pro"/>
          <w:sz w:val="24"/>
          <w:szCs w:val="24"/>
        </w:rPr>
        <w:t>Pregnancy outcomes among Syrian refugee and Jordanian Women: a comparative study</w:t>
      </w:r>
      <w:r w:rsidRPr="00C600D1">
        <w:rPr>
          <w:rFonts w:ascii="Tw Cen MT" w:eastAsia="Minion Pro" w:hAnsi="Tw Cen MT" w:cs="Minion Pro"/>
          <w:sz w:val="24"/>
          <w:szCs w:val="24"/>
        </w:rPr>
        <w:t xml:space="preserve">. </w:t>
      </w:r>
      <w:proofErr w:type="gramStart"/>
      <w:r w:rsidRPr="00C600D1">
        <w:rPr>
          <w:rFonts w:ascii="Tw Cen MT" w:eastAsia="Minion Pro" w:hAnsi="Tw Cen MT" w:cs="Minion Pro"/>
          <w:sz w:val="24"/>
          <w:szCs w:val="24"/>
        </w:rPr>
        <w:t>International Nursing Review.</w:t>
      </w:r>
      <w:proofErr w:type="gramEnd"/>
      <w:r>
        <w:rPr>
          <w:rFonts w:ascii="Tw Cen MT" w:eastAsia="Minion Pro" w:hAnsi="Tw Cen MT" w:cs="Minion Pro"/>
          <w:b/>
          <w:bCs/>
          <w:sz w:val="24"/>
          <w:szCs w:val="24"/>
        </w:rPr>
        <w:t xml:space="preserve"> </w:t>
      </w:r>
    </w:p>
    <w:p w:rsidR="0081603A" w:rsidRDefault="0084132E" w:rsidP="0081603A">
      <w:pPr>
        <w:pStyle w:val="Heading1"/>
        <w:shd w:val="clear" w:color="auto" w:fill="FFFFFF"/>
        <w:spacing w:before="0" w:line="360" w:lineRule="atLeast"/>
        <w:rPr>
          <w:rFonts w:ascii="Tw Cen MT" w:eastAsia="Times New Roman" w:hAnsi="Tw Cen MT" w:cs="Arial"/>
          <w:b w:val="0"/>
          <w:bCs w:val="0"/>
          <w:color w:val="auto"/>
          <w:kern w:val="36"/>
          <w:sz w:val="24"/>
          <w:szCs w:val="24"/>
        </w:rPr>
      </w:pPr>
      <w:proofErr w:type="spellStart"/>
      <w:r w:rsidRPr="0081603A">
        <w:rPr>
          <w:rFonts w:ascii="Tw Cen MT" w:eastAsia="Minion Pro" w:hAnsi="Tw Cen MT" w:cs="Minion Pro"/>
          <w:b w:val="0"/>
          <w:bCs w:val="0"/>
          <w:color w:val="auto"/>
          <w:sz w:val="24"/>
          <w:szCs w:val="24"/>
        </w:rPr>
        <w:t>Kassab</w:t>
      </w:r>
      <w:proofErr w:type="gramStart"/>
      <w:r w:rsidRPr="0081603A">
        <w:rPr>
          <w:rFonts w:ascii="Tw Cen MT" w:eastAsia="Minion Pro" w:hAnsi="Tw Cen MT" w:cs="Minion Pro"/>
          <w:b w:val="0"/>
          <w:bCs w:val="0"/>
          <w:color w:val="auto"/>
          <w:sz w:val="24"/>
          <w:szCs w:val="24"/>
        </w:rPr>
        <w:t>,M</w:t>
      </w:r>
      <w:proofErr w:type="spellEnd"/>
      <w:proofErr w:type="gramEnd"/>
      <w:r w:rsidRPr="0081603A">
        <w:rPr>
          <w:rFonts w:ascii="Tw Cen MT" w:eastAsia="Minion Pro" w:hAnsi="Tw Cen MT" w:cs="Minion Pro"/>
          <w:b w:val="0"/>
          <w:bCs w:val="0"/>
          <w:color w:val="auto"/>
          <w:sz w:val="24"/>
          <w:szCs w:val="24"/>
        </w:rPr>
        <w:t xml:space="preserve">, </w:t>
      </w:r>
      <w:proofErr w:type="spellStart"/>
      <w:r w:rsidRPr="0081603A">
        <w:rPr>
          <w:rFonts w:ascii="Tw Cen MT" w:eastAsia="Minion Pro" w:hAnsi="Tw Cen MT" w:cs="Minion Pro"/>
          <w:color w:val="auto"/>
          <w:sz w:val="24"/>
          <w:szCs w:val="24"/>
        </w:rPr>
        <w:t>Alnuaimi</w:t>
      </w:r>
      <w:proofErr w:type="spellEnd"/>
      <w:r w:rsidRPr="0081603A">
        <w:rPr>
          <w:rFonts w:ascii="Tw Cen MT" w:eastAsia="Minion Pro" w:hAnsi="Tw Cen MT" w:cs="Minion Pro"/>
          <w:color w:val="auto"/>
          <w:sz w:val="24"/>
          <w:szCs w:val="24"/>
        </w:rPr>
        <w:t>,</w:t>
      </w:r>
      <w:r w:rsidRPr="0081603A">
        <w:rPr>
          <w:rFonts w:ascii="Tw Cen MT" w:eastAsia="Minion Pro" w:hAnsi="Tw Cen MT" w:cs="Minion Pro"/>
          <w:color w:val="auto"/>
          <w:sz w:val="24"/>
          <w:szCs w:val="24"/>
        </w:rPr>
        <w:t xml:space="preserve"> K,</w:t>
      </w:r>
      <w:r w:rsidRPr="0081603A">
        <w:rPr>
          <w:rFonts w:ascii="Tw Cen MT" w:eastAsia="Minion Pro" w:hAnsi="Tw Cen MT" w:cs="Minion Pro"/>
          <w:b w:val="0"/>
          <w:bCs w:val="0"/>
          <w:color w:val="auto"/>
          <w:sz w:val="24"/>
          <w:szCs w:val="24"/>
        </w:rPr>
        <w:t xml:space="preserve"> Mohammad, K, </w:t>
      </w:r>
      <w:proofErr w:type="spellStart"/>
      <w:r w:rsidR="0081603A" w:rsidRPr="0081603A">
        <w:rPr>
          <w:rFonts w:ascii="Tw Cen MT" w:eastAsia="Minion Pro" w:hAnsi="Tw Cen MT" w:cs="Minion Pro"/>
          <w:b w:val="0"/>
          <w:bCs w:val="0"/>
          <w:color w:val="auto"/>
          <w:sz w:val="24"/>
          <w:szCs w:val="24"/>
        </w:rPr>
        <w:t>Creedy</w:t>
      </w:r>
      <w:proofErr w:type="spellEnd"/>
      <w:r w:rsidR="0081603A" w:rsidRPr="0081603A">
        <w:rPr>
          <w:rFonts w:ascii="Tw Cen MT" w:eastAsia="Minion Pro" w:hAnsi="Tw Cen MT" w:cs="Minion Pro"/>
          <w:b w:val="0"/>
          <w:bCs w:val="0"/>
          <w:color w:val="auto"/>
          <w:sz w:val="24"/>
          <w:szCs w:val="24"/>
        </w:rPr>
        <w:t xml:space="preserve">, D </w:t>
      </w:r>
      <w:proofErr w:type="spellStart"/>
      <w:r w:rsidR="0081603A" w:rsidRPr="0081603A">
        <w:rPr>
          <w:rFonts w:ascii="Tw Cen MT" w:eastAsia="Minion Pro" w:hAnsi="Tw Cen MT" w:cs="Minion Pro"/>
          <w:b w:val="0"/>
          <w:bCs w:val="0"/>
          <w:color w:val="auto"/>
          <w:sz w:val="24"/>
          <w:szCs w:val="24"/>
        </w:rPr>
        <w:t>Hamadneh</w:t>
      </w:r>
      <w:proofErr w:type="spellEnd"/>
      <w:r w:rsidR="0081603A" w:rsidRPr="0081603A">
        <w:rPr>
          <w:rFonts w:ascii="Tw Cen MT" w:eastAsia="Minion Pro" w:hAnsi="Tw Cen MT" w:cs="Minion Pro"/>
          <w:b w:val="0"/>
          <w:bCs w:val="0"/>
          <w:color w:val="auto"/>
          <w:sz w:val="24"/>
          <w:szCs w:val="24"/>
        </w:rPr>
        <w:t xml:space="preserve">, S (2015) </w:t>
      </w:r>
      <w:r w:rsidRPr="0081603A">
        <w:rPr>
          <w:rFonts w:ascii="Tw Cen MT" w:eastAsia="Times New Roman" w:hAnsi="Tw Cen MT" w:cs="Arial"/>
          <w:b w:val="0"/>
          <w:bCs w:val="0"/>
          <w:color w:val="auto"/>
          <w:kern w:val="36"/>
          <w:sz w:val="24"/>
          <w:szCs w:val="24"/>
        </w:rPr>
        <w:t>Midwives’ Experiences, Education, and Support Needs Regarding Basic Newborn Resuscitation in Jordan</w:t>
      </w:r>
      <w:r w:rsidR="0081603A" w:rsidRPr="0081603A">
        <w:rPr>
          <w:rFonts w:ascii="Tw Cen MT" w:eastAsia="Times New Roman" w:hAnsi="Tw Cen MT" w:cs="Arial"/>
          <w:b w:val="0"/>
          <w:bCs w:val="0"/>
          <w:color w:val="auto"/>
          <w:kern w:val="36"/>
          <w:sz w:val="24"/>
          <w:szCs w:val="24"/>
        </w:rPr>
        <w:t xml:space="preserve">. </w:t>
      </w:r>
      <w:proofErr w:type="gramStart"/>
      <w:r w:rsidR="0081603A" w:rsidRPr="0081603A">
        <w:rPr>
          <w:rFonts w:ascii="Tw Cen MT" w:eastAsia="Times New Roman" w:hAnsi="Tw Cen MT" w:cs="Arial"/>
          <w:b w:val="0"/>
          <w:bCs w:val="0"/>
          <w:color w:val="auto"/>
          <w:kern w:val="36"/>
          <w:sz w:val="24"/>
          <w:szCs w:val="24"/>
        </w:rPr>
        <w:t>Clinical Nursing Research.</w:t>
      </w:r>
      <w:proofErr w:type="gramEnd"/>
    </w:p>
    <w:p w:rsidR="0081603A" w:rsidRDefault="0081603A" w:rsidP="0081603A">
      <w:pPr>
        <w:pStyle w:val="Heading1"/>
        <w:shd w:val="clear" w:color="auto" w:fill="FFFFFF"/>
        <w:spacing w:before="0" w:line="360" w:lineRule="atLeast"/>
        <w:rPr>
          <w:rFonts w:ascii="Tw Cen MT" w:eastAsia="Times New Roman" w:hAnsi="Tw Cen MT" w:cs="Arial"/>
          <w:b w:val="0"/>
          <w:bCs w:val="0"/>
          <w:color w:val="auto"/>
          <w:kern w:val="36"/>
          <w:sz w:val="24"/>
          <w:szCs w:val="24"/>
        </w:rPr>
      </w:pPr>
    </w:p>
    <w:p w:rsidR="00D01250" w:rsidRDefault="0081603A" w:rsidP="00D01250">
      <w:pPr>
        <w:pStyle w:val="Heading1"/>
        <w:shd w:val="clear" w:color="auto" w:fill="FFFFFF"/>
        <w:spacing w:before="0" w:line="360" w:lineRule="atLeast"/>
        <w:rPr>
          <w:rFonts w:ascii="Tw Cen MT" w:eastAsia="Times New Roman" w:hAnsi="Tw Cen MT" w:cs="Arial"/>
          <w:b w:val="0"/>
          <w:bCs w:val="0"/>
          <w:color w:val="auto"/>
          <w:sz w:val="24"/>
          <w:szCs w:val="24"/>
        </w:rPr>
      </w:pPr>
      <w:r w:rsidRPr="0081603A">
        <w:rPr>
          <w:rFonts w:ascii="Tw Cen MT" w:eastAsia="Times New Roman" w:hAnsi="Tw Cen MT" w:cs="Arial"/>
          <w:b w:val="0"/>
          <w:bCs w:val="0"/>
          <w:color w:val="auto"/>
          <w:sz w:val="24"/>
          <w:szCs w:val="24"/>
        </w:rPr>
        <w:t>Ali, R </w:t>
      </w:r>
      <w:hyperlink r:id="rId5" w:history="1">
        <w:r w:rsidRPr="0081603A">
          <w:rPr>
            <w:rFonts w:ascii="Tw Cen MT" w:eastAsia="Times New Roman" w:hAnsi="Tw Cen MT" w:cs="Arial"/>
            <w:b w:val="0"/>
            <w:bCs w:val="0"/>
            <w:color w:val="auto"/>
            <w:sz w:val="24"/>
            <w:szCs w:val="24"/>
          </w:rPr>
          <w:t xml:space="preserve"> </w:t>
        </w:r>
        <w:proofErr w:type="spellStart"/>
        <w:r w:rsidRPr="0081603A">
          <w:rPr>
            <w:rFonts w:ascii="Tw Cen MT" w:eastAsia="Times New Roman" w:hAnsi="Tw Cen MT" w:cs="Arial"/>
            <w:b w:val="0"/>
            <w:bCs w:val="0"/>
            <w:color w:val="auto"/>
            <w:sz w:val="24"/>
            <w:szCs w:val="24"/>
          </w:rPr>
          <w:t>Razeq</w:t>
        </w:r>
        <w:proofErr w:type="spellEnd"/>
      </w:hyperlink>
      <w:r w:rsidRPr="0081603A">
        <w:rPr>
          <w:rFonts w:ascii="Tw Cen MT" w:eastAsia="Times New Roman" w:hAnsi="Tw Cen MT" w:cs="Arial"/>
          <w:b w:val="0"/>
          <w:bCs w:val="0"/>
          <w:color w:val="auto"/>
          <w:sz w:val="24"/>
          <w:szCs w:val="24"/>
        </w:rPr>
        <w:t xml:space="preserve">, N, </w:t>
      </w:r>
      <w:proofErr w:type="spellStart"/>
      <w:r w:rsidRPr="0081603A">
        <w:rPr>
          <w:rFonts w:ascii="Tw Cen MT" w:eastAsia="Times New Roman" w:hAnsi="Tw Cen MT" w:cs="Arial"/>
          <w:color w:val="auto"/>
          <w:sz w:val="24"/>
          <w:szCs w:val="24"/>
        </w:rPr>
        <w:t>Alnuaimi</w:t>
      </w:r>
      <w:proofErr w:type="spellEnd"/>
      <w:r w:rsidRPr="0081603A">
        <w:rPr>
          <w:rFonts w:ascii="Tw Cen MT" w:eastAsia="Times New Roman" w:hAnsi="Tw Cen MT" w:cs="Arial"/>
          <w:color w:val="auto"/>
          <w:sz w:val="24"/>
          <w:szCs w:val="24"/>
        </w:rPr>
        <w:t>, K</w:t>
      </w:r>
      <w:proofErr w:type="gramStart"/>
      <w:r w:rsidRPr="0081603A">
        <w:rPr>
          <w:rFonts w:ascii="Tw Cen MT" w:eastAsia="Times New Roman" w:hAnsi="Tw Cen MT" w:cs="Arial"/>
          <w:b w:val="0"/>
          <w:bCs w:val="0"/>
          <w:color w:val="auto"/>
          <w:sz w:val="24"/>
          <w:szCs w:val="24"/>
        </w:rPr>
        <w:t>,  </w:t>
      </w:r>
      <w:proofErr w:type="gramEnd"/>
      <w:r w:rsidRPr="0081603A">
        <w:rPr>
          <w:rFonts w:ascii="Tw Cen MT" w:eastAsia="Times New Roman" w:hAnsi="Tw Cen MT" w:cs="Arial"/>
          <w:b w:val="0"/>
          <w:bCs w:val="0"/>
          <w:color w:val="auto"/>
          <w:sz w:val="24"/>
          <w:szCs w:val="24"/>
        </w:rPr>
        <w:fldChar w:fldCharType="begin"/>
      </w:r>
      <w:r w:rsidRPr="0081603A">
        <w:rPr>
          <w:rFonts w:ascii="Tw Cen MT" w:eastAsia="Times New Roman" w:hAnsi="Tw Cen MT" w:cs="Arial"/>
          <w:b w:val="0"/>
          <w:bCs w:val="0"/>
          <w:color w:val="auto"/>
          <w:sz w:val="24"/>
          <w:szCs w:val="24"/>
        </w:rPr>
        <w:instrText xml:space="preserve"> HYPERLINK "https://scholar.google.com/citations?user=e4lAW1wAAAAJ&amp;hl=en&amp;oi=sra" </w:instrText>
      </w:r>
      <w:r w:rsidRPr="0081603A">
        <w:rPr>
          <w:rFonts w:ascii="Tw Cen MT" w:eastAsia="Times New Roman" w:hAnsi="Tw Cen MT" w:cs="Arial"/>
          <w:b w:val="0"/>
          <w:bCs w:val="0"/>
          <w:color w:val="auto"/>
          <w:sz w:val="24"/>
          <w:szCs w:val="24"/>
        </w:rPr>
        <w:fldChar w:fldCharType="separate"/>
      </w:r>
      <w:proofErr w:type="spellStart"/>
      <w:r w:rsidRPr="0081603A">
        <w:rPr>
          <w:rFonts w:ascii="Tw Cen MT" w:eastAsia="Times New Roman" w:hAnsi="Tw Cen MT" w:cs="Arial"/>
          <w:b w:val="0"/>
          <w:bCs w:val="0"/>
          <w:color w:val="auto"/>
          <w:sz w:val="24"/>
          <w:szCs w:val="24"/>
        </w:rPr>
        <w:t>Alzoubi</w:t>
      </w:r>
      <w:proofErr w:type="spellEnd"/>
      <w:r w:rsidRPr="0081603A">
        <w:rPr>
          <w:rFonts w:ascii="Tw Cen MT" w:eastAsia="Times New Roman" w:hAnsi="Tw Cen MT" w:cs="Arial"/>
          <w:b w:val="0"/>
          <w:bCs w:val="0"/>
          <w:color w:val="auto"/>
          <w:sz w:val="24"/>
          <w:szCs w:val="24"/>
        </w:rPr>
        <w:fldChar w:fldCharType="end"/>
      </w:r>
      <w:r w:rsidRPr="0081603A">
        <w:rPr>
          <w:rFonts w:ascii="Tw Cen MT" w:eastAsia="Times New Roman" w:hAnsi="Tw Cen MT" w:cs="Arial"/>
          <w:b w:val="0"/>
          <w:bCs w:val="0"/>
          <w:color w:val="auto"/>
          <w:sz w:val="24"/>
          <w:szCs w:val="24"/>
        </w:rPr>
        <w:t xml:space="preserve">, F (2017) </w:t>
      </w:r>
      <w:hyperlink r:id="rId6" w:history="1">
        <w:r w:rsidRPr="0081603A">
          <w:rPr>
            <w:rFonts w:ascii="Tw Cen MT" w:eastAsia="Times New Roman" w:hAnsi="Tw Cen MT" w:cs="Arial"/>
            <w:b w:val="0"/>
            <w:bCs w:val="0"/>
            <w:color w:val="auto"/>
            <w:sz w:val="24"/>
            <w:szCs w:val="24"/>
          </w:rPr>
          <w:t>Maternal</w:t>
        </w:r>
        <w:r w:rsidRPr="0081603A">
          <w:rPr>
            <w:rFonts w:ascii="Tw Cen MT" w:eastAsia="Times New Roman" w:hAnsi="Tw Cen MT" w:cs="Arial"/>
            <w:b w:val="0"/>
            <w:bCs w:val="0"/>
            <w:color w:val="auto"/>
            <w:sz w:val="24"/>
            <w:szCs w:val="24"/>
          </w:rPr>
          <w:t xml:space="preserve"> </w:t>
        </w:r>
        <w:proofErr w:type="spellStart"/>
        <w:r w:rsidRPr="0081603A">
          <w:rPr>
            <w:rFonts w:ascii="Tw Cen MT" w:eastAsia="Times New Roman" w:hAnsi="Tw Cen MT" w:cs="Arial"/>
            <w:b w:val="0"/>
            <w:bCs w:val="0"/>
            <w:color w:val="auto"/>
            <w:sz w:val="24"/>
            <w:szCs w:val="24"/>
          </w:rPr>
          <w:t>Sociodemographic</w:t>
        </w:r>
        <w:proofErr w:type="spellEnd"/>
        <w:r w:rsidRPr="0081603A">
          <w:rPr>
            <w:rFonts w:ascii="Tw Cen MT" w:eastAsia="Times New Roman" w:hAnsi="Tw Cen MT" w:cs="Arial"/>
            <w:b w:val="0"/>
            <w:bCs w:val="0"/>
            <w:color w:val="auto"/>
            <w:sz w:val="24"/>
            <w:szCs w:val="24"/>
          </w:rPr>
          <w:t xml:space="preserve"> Characteristics and Behaviors as Correlates of Preadolescent's Breakfast Habits</w:t>
        </w:r>
      </w:hyperlink>
      <w:r w:rsidRPr="0081603A">
        <w:rPr>
          <w:rFonts w:ascii="Tw Cen MT" w:eastAsia="Times New Roman" w:hAnsi="Tw Cen MT" w:cs="Arial"/>
          <w:b w:val="0"/>
          <w:bCs w:val="0"/>
          <w:color w:val="auto"/>
          <w:sz w:val="24"/>
          <w:szCs w:val="24"/>
        </w:rPr>
        <w:t xml:space="preserve">. </w:t>
      </w:r>
      <w:proofErr w:type="gramStart"/>
      <w:r w:rsidRPr="0081603A">
        <w:rPr>
          <w:rFonts w:ascii="Tw Cen MT" w:eastAsia="Times New Roman" w:hAnsi="Tw Cen MT" w:cs="Arial"/>
          <w:b w:val="0"/>
          <w:bCs w:val="0"/>
          <w:color w:val="auto"/>
          <w:sz w:val="24"/>
          <w:szCs w:val="24"/>
        </w:rPr>
        <w:t>Journal of Pediatric Nursing, Elsevier.</w:t>
      </w:r>
      <w:proofErr w:type="gramEnd"/>
    </w:p>
    <w:p w:rsidR="00D01250" w:rsidRDefault="00D01250" w:rsidP="00D01250">
      <w:pPr>
        <w:pStyle w:val="Heading1"/>
        <w:shd w:val="clear" w:color="auto" w:fill="FFFFFF"/>
        <w:spacing w:before="0" w:line="360" w:lineRule="atLeast"/>
        <w:rPr>
          <w:rFonts w:ascii="Segoe UI" w:hAnsi="Segoe UI" w:cs="Segoe UI"/>
          <w:b w:val="0"/>
          <w:bCs w:val="0"/>
          <w:color w:val="000000"/>
          <w:sz w:val="20"/>
          <w:szCs w:val="20"/>
        </w:rPr>
      </w:pPr>
    </w:p>
    <w:p w:rsidR="00D01250" w:rsidRDefault="00D01250" w:rsidP="00D01250">
      <w:pPr>
        <w:pStyle w:val="Heading1"/>
        <w:shd w:val="clear" w:color="auto" w:fill="FFFFFF"/>
        <w:spacing w:before="0" w:line="360" w:lineRule="atLeast"/>
        <w:rPr>
          <w:rFonts w:ascii="Tw Cen MT" w:eastAsia="Times New Roman" w:hAnsi="Tw Cen MT" w:cs="Arial"/>
          <w:b w:val="0"/>
          <w:bCs w:val="0"/>
          <w:color w:val="auto"/>
          <w:kern w:val="36"/>
          <w:sz w:val="24"/>
          <w:szCs w:val="24"/>
        </w:rPr>
      </w:pPr>
      <w:proofErr w:type="spellStart"/>
      <w:proofErr w:type="gramStart"/>
      <w:r w:rsidRPr="00D01250">
        <w:rPr>
          <w:rFonts w:ascii="Segoe UI" w:hAnsi="Segoe UI" w:cs="Segoe UI"/>
          <w:b w:val="0"/>
          <w:bCs w:val="0"/>
          <w:color w:val="000000"/>
          <w:sz w:val="20"/>
          <w:szCs w:val="20"/>
        </w:rPr>
        <w:t>M</w:t>
      </w:r>
      <w:r>
        <w:rPr>
          <w:rFonts w:ascii="Segoe UI" w:hAnsi="Segoe UI" w:cs="Segoe UI"/>
          <w:b w:val="0"/>
          <w:bCs w:val="0"/>
          <w:color w:val="000000"/>
          <w:sz w:val="20"/>
          <w:szCs w:val="20"/>
        </w:rPr>
        <w:t>ray</w:t>
      </w:r>
      <w:r w:rsidRPr="00D01250">
        <w:rPr>
          <w:rFonts w:ascii="Segoe UI" w:hAnsi="Segoe UI" w:cs="Segoe UI"/>
          <w:b w:val="0"/>
          <w:bCs w:val="0"/>
          <w:color w:val="000000"/>
          <w:sz w:val="20"/>
          <w:szCs w:val="20"/>
        </w:rPr>
        <w:t>an</w:t>
      </w:r>
      <w:proofErr w:type="spellEnd"/>
      <w:r w:rsidRPr="00D01250">
        <w:rPr>
          <w:rFonts w:ascii="Segoe UI" w:hAnsi="Segoe UI" w:cs="Segoe UI"/>
          <w:b w:val="0"/>
          <w:bCs w:val="0"/>
          <w:color w:val="000000"/>
          <w:sz w:val="20"/>
          <w:szCs w:val="20"/>
        </w:rPr>
        <w:t xml:space="preserve"> L, </w:t>
      </w:r>
      <w:proofErr w:type="spellStart"/>
      <w:r w:rsidRPr="00D01250">
        <w:rPr>
          <w:rFonts w:ascii="Segoe UI" w:hAnsi="Segoe UI" w:cs="Segoe UI"/>
          <w:b w:val="0"/>
          <w:bCs w:val="0"/>
          <w:color w:val="000000"/>
          <w:sz w:val="20"/>
          <w:szCs w:val="20"/>
        </w:rPr>
        <w:t>Abujulban</w:t>
      </w:r>
      <w:proofErr w:type="spellEnd"/>
      <w:r w:rsidRPr="00D01250">
        <w:rPr>
          <w:rFonts w:ascii="Segoe UI" w:hAnsi="Segoe UI" w:cs="Segoe UI"/>
          <w:b w:val="0"/>
          <w:bCs w:val="0"/>
          <w:color w:val="000000"/>
          <w:sz w:val="20"/>
          <w:szCs w:val="20"/>
        </w:rPr>
        <w:t xml:space="preserve">, S, </w:t>
      </w:r>
      <w:proofErr w:type="spellStart"/>
      <w:r w:rsidRPr="00D01250">
        <w:rPr>
          <w:rFonts w:ascii="Segoe UI" w:hAnsi="Segoe UI" w:cs="Segoe UI"/>
          <w:color w:val="000000"/>
          <w:sz w:val="20"/>
          <w:szCs w:val="20"/>
        </w:rPr>
        <w:t>Alnuaimi</w:t>
      </w:r>
      <w:proofErr w:type="spellEnd"/>
      <w:r w:rsidRPr="00D01250">
        <w:rPr>
          <w:rFonts w:ascii="Segoe UI" w:hAnsi="Segoe UI" w:cs="Segoe UI"/>
          <w:color w:val="000000"/>
          <w:sz w:val="20"/>
          <w:szCs w:val="20"/>
        </w:rPr>
        <w:t>, K,</w:t>
      </w:r>
      <w:r w:rsidRPr="00D01250">
        <w:rPr>
          <w:rFonts w:ascii="Segoe UI" w:hAnsi="Segoe UI" w:cs="Segoe UI"/>
          <w:b w:val="0"/>
          <w:bCs w:val="0"/>
          <w:color w:val="000000"/>
          <w:sz w:val="20"/>
          <w:szCs w:val="20"/>
        </w:rPr>
        <w:t xml:space="preserve"> </w:t>
      </w:r>
      <w:proofErr w:type="spellStart"/>
      <w:r w:rsidRPr="00D01250">
        <w:rPr>
          <w:rFonts w:ascii="Segoe UI" w:hAnsi="Segoe UI" w:cs="Segoe UI"/>
          <w:b w:val="0"/>
          <w:bCs w:val="0"/>
          <w:color w:val="000000"/>
          <w:sz w:val="20"/>
          <w:szCs w:val="20"/>
        </w:rPr>
        <w:t>Abudhil</w:t>
      </w:r>
      <w:proofErr w:type="spellEnd"/>
      <w:r w:rsidRPr="00D01250">
        <w:rPr>
          <w:rFonts w:ascii="Segoe UI" w:hAnsi="Segoe UI" w:cs="Segoe UI"/>
          <w:b w:val="0"/>
          <w:bCs w:val="0"/>
          <w:color w:val="000000"/>
          <w:sz w:val="20"/>
          <w:szCs w:val="20"/>
        </w:rPr>
        <w:t xml:space="preserve">, J (2017) </w:t>
      </w:r>
      <w:r w:rsidR="00A4288F" w:rsidRPr="00D01250">
        <w:rPr>
          <w:rFonts w:ascii="Segoe UI" w:hAnsi="Segoe UI" w:cs="Segoe UI"/>
          <w:b w:val="0"/>
          <w:bCs w:val="0"/>
          <w:color w:val="000000"/>
          <w:sz w:val="20"/>
          <w:szCs w:val="20"/>
        </w:rPr>
        <w:t>Exploring Jordanian Women’s Experience of First Pelvic Examination</w:t>
      </w:r>
      <w:r w:rsidR="00A4288F" w:rsidRPr="00D01250">
        <w:rPr>
          <w:rFonts w:ascii="Segoe UI" w:hAnsi="Segoe UI" w:cs="Segoe UI"/>
          <w:b w:val="0"/>
          <w:bCs w:val="0"/>
          <w:color w:val="000000"/>
          <w:sz w:val="20"/>
          <w:szCs w:val="20"/>
        </w:rPr>
        <w:t>.</w:t>
      </w:r>
      <w:proofErr w:type="gramEnd"/>
      <w:r w:rsidR="00A4288F" w:rsidRPr="00D01250">
        <w:rPr>
          <w:rFonts w:ascii="Segoe UI" w:hAnsi="Segoe UI" w:cs="Segoe UI"/>
          <w:b w:val="0"/>
          <w:bCs w:val="0"/>
          <w:color w:val="000000"/>
          <w:sz w:val="20"/>
          <w:szCs w:val="20"/>
        </w:rPr>
        <w:t xml:space="preserve"> </w:t>
      </w:r>
      <w:proofErr w:type="gramStart"/>
      <w:r w:rsidR="00A4288F" w:rsidRPr="00D01250">
        <w:rPr>
          <w:rFonts w:ascii="Segoe UI" w:hAnsi="Segoe UI" w:cs="Segoe UI"/>
          <w:b w:val="0"/>
          <w:bCs w:val="0"/>
          <w:color w:val="000000"/>
          <w:sz w:val="20"/>
          <w:szCs w:val="20"/>
        </w:rPr>
        <w:t>Applied Nursing Research</w:t>
      </w:r>
      <w:r w:rsidRPr="00D01250">
        <w:rPr>
          <w:rFonts w:ascii="Segoe UI" w:hAnsi="Segoe UI" w:cs="Segoe UI"/>
          <w:b w:val="0"/>
          <w:bCs w:val="0"/>
          <w:color w:val="000000"/>
          <w:sz w:val="20"/>
          <w:szCs w:val="20"/>
        </w:rPr>
        <w:t>.</w:t>
      </w:r>
      <w:proofErr w:type="gramEnd"/>
    </w:p>
    <w:p w:rsidR="00D01250" w:rsidRDefault="00D01250" w:rsidP="00D01250">
      <w:pPr>
        <w:pStyle w:val="Heading1"/>
        <w:shd w:val="clear" w:color="auto" w:fill="FFFFFF"/>
        <w:spacing w:before="0" w:line="360" w:lineRule="atLeast"/>
        <w:rPr>
          <w:rFonts w:ascii="Tw Cen MT" w:eastAsia="Times New Roman" w:hAnsi="Tw Cen MT" w:cs="Arial"/>
          <w:b w:val="0"/>
          <w:bCs w:val="0"/>
          <w:color w:val="auto"/>
          <w:kern w:val="36"/>
          <w:sz w:val="24"/>
          <w:szCs w:val="24"/>
        </w:rPr>
      </w:pPr>
    </w:p>
    <w:p w:rsidR="00D01250" w:rsidRDefault="00D01250" w:rsidP="001B20D2">
      <w:pPr>
        <w:pStyle w:val="Heading1"/>
        <w:shd w:val="clear" w:color="auto" w:fill="FFFFFF"/>
        <w:spacing w:before="0" w:line="360" w:lineRule="atLeast"/>
        <w:rPr>
          <w:rFonts w:ascii="Tw Cen MT" w:hAnsi="Tw Cen MT"/>
          <w:b w:val="0"/>
          <w:bCs w:val="0"/>
          <w:color w:val="auto"/>
          <w:sz w:val="24"/>
          <w:szCs w:val="24"/>
        </w:rPr>
      </w:pPr>
      <w:proofErr w:type="spellStart"/>
      <w:r>
        <w:rPr>
          <w:rFonts w:ascii="Tw Cen MT" w:hAnsi="Tw Cen MT"/>
          <w:color w:val="auto"/>
          <w:sz w:val="24"/>
          <w:szCs w:val="24"/>
          <w:lang w:bidi="ar-JO"/>
        </w:rPr>
        <w:t>Alnuaimi</w:t>
      </w:r>
      <w:proofErr w:type="spellEnd"/>
      <w:r>
        <w:rPr>
          <w:rFonts w:ascii="Tw Cen MT" w:hAnsi="Tw Cen MT"/>
          <w:color w:val="auto"/>
          <w:sz w:val="24"/>
          <w:szCs w:val="24"/>
          <w:lang w:bidi="ar-JO"/>
        </w:rPr>
        <w:t xml:space="preserve">, K, </w:t>
      </w:r>
      <w:proofErr w:type="spellStart"/>
      <w:r w:rsidRPr="00D01250">
        <w:rPr>
          <w:rFonts w:ascii="Tw Cen MT" w:hAnsi="Tw Cen MT"/>
          <w:b w:val="0"/>
          <w:bCs w:val="0"/>
          <w:color w:val="auto"/>
          <w:sz w:val="24"/>
          <w:szCs w:val="24"/>
          <w:lang w:bidi="ar-JO"/>
        </w:rPr>
        <w:t>Almalik</w:t>
      </w:r>
      <w:proofErr w:type="spellEnd"/>
      <w:r w:rsidRPr="00D01250">
        <w:rPr>
          <w:rFonts w:ascii="Tw Cen MT" w:hAnsi="Tw Cen MT"/>
          <w:b w:val="0"/>
          <w:bCs w:val="0"/>
          <w:color w:val="auto"/>
          <w:sz w:val="24"/>
          <w:szCs w:val="24"/>
          <w:lang w:bidi="ar-JO"/>
        </w:rPr>
        <w:t xml:space="preserve">, M, </w:t>
      </w:r>
      <w:proofErr w:type="spellStart"/>
      <w:r w:rsidRPr="00D01250">
        <w:rPr>
          <w:rFonts w:ascii="Tw Cen MT" w:hAnsi="Tw Cen MT"/>
          <w:b w:val="0"/>
          <w:bCs w:val="0"/>
          <w:color w:val="auto"/>
          <w:sz w:val="24"/>
          <w:szCs w:val="24"/>
          <w:lang w:bidi="ar-JO"/>
        </w:rPr>
        <w:t>Mrayan</w:t>
      </w:r>
      <w:proofErr w:type="spellEnd"/>
      <w:r w:rsidRPr="00D01250">
        <w:rPr>
          <w:rFonts w:ascii="Tw Cen MT" w:hAnsi="Tw Cen MT"/>
          <w:b w:val="0"/>
          <w:bCs w:val="0"/>
          <w:color w:val="auto"/>
          <w:sz w:val="24"/>
          <w:szCs w:val="24"/>
          <w:lang w:bidi="ar-JO"/>
        </w:rPr>
        <w:t xml:space="preserve">, L, Ali, R, Mohammad, K, </w:t>
      </w:r>
      <w:proofErr w:type="spellStart"/>
      <w:r w:rsidRPr="00D01250">
        <w:rPr>
          <w:rFonts w:ascii="Tw Cen MT" w:hAnsi="Tw Cen MT"/>
          <w:b w:val="0"/>
          <w:bCs w:val="0"/>
          <w:color w:val="auto"/>
          <w:sz w:val="24"/>
          <w:szCs w:val="24"/>
          <w:lang w:bidi="ar-JO"/>
        </w:rPr>
        <w:t>Alshraifeen</w:t>
      </w:r>
      <w:proofErr w:type="spellEnd"/>
      <w:r w:rsidRPr="00D01250">
        <w:rPr>
          <w:rFonts w:ascii="Tw Cen MT" w:hAnsi="Tw Cen MT"/>
          <w:b w:val="0"/>
          <w:bCs w:val="0"/>
          <w:color w:val="auto"/>
          <w:sz w:val="24"/>
          <w:szCs w:val="24"/>
          <w:lang w:bidi="ar-JO"/>
        </w:rPr>
        <w:t xml:space="preserve">, A. (2017) </w:t>
      </w:r>
      <w:r w:rsidRPr="00D01250">
        <w:rPr>
          <w:rFonts w:ascii="Tw Cen MT" w:hAnsi="Tw Cen MT"/>
          <w:b w:val="0"/>
          <w:bCs w:val="0"/>
          <w:color w:val="auto"/>
          <w:sz w:val="24"/>
          <w:szCs w:val="24"/>
          <w:lang w:bidi="ar-JO"/>
        </w:rPr>
        <w:t>Sexuality after giving birth</w:t>
      </w:r>
      <w:r w:rsidRPr="00D01250">
        <w:rPr>
          <w:rFonts w:ascii="Tw Cen MT" w:hAnsi="Tw Cen MT"/>
          <w:b w:val="0"/>
          <w:bCs w:val="0"/>
          <w:color w:val="auto"/>
          <w:sz w:val="24"/>
          <w:szCs w:val="24"/>
        </w:rPr>
        <w:t xml:space="preserve"> from Jordanian health care providers’ perspectives</w:t>
      </w:r>
      <w:r w:rsidRPr="00D01250">
        <w:rPr>
          <w:rFonts w:ascii="Tw Cen MT" w:hAnsi="Tw Cen MT"/>
          <w:b w:val="0"/>
          <w:bCs w:val="0"/>
          <w:color w:val="auto"/>
          <w:sz w:val="24"/>
          <w:szCs w:val="24"/>
        </w:rPr>
        <w:t xml:space="preserve">. UNDER REVISION </w:t>
      </w:r>
    </w:p>
    <w:p w:rsidR="001B20D2" w:rsidRPr="001B20D2" w:rsidRDefault="001B20D2" w:rsidP="001B20D2">
      <w:bookmarkStart w:id="0" w:name="_GoBack"/>
      <w:bookmarkEnd w:id="0"/>
    </w:p>
    <w:p w:rsidR="00D01250" w:rsidRPr="001B20D2" w:rsidRDefault="00D01250" w:rsidP="00D01250">
      <w:proofErr w:type="spellStart"/>
      <w:proofErr w:type="gramStart"/>
      <w:r w:rsidRPr="00D01250">
        <w:rPr>
          <w:rFonts w:ascii="Tw Cen MT" w:hAnsi="Tw Cen MT"/>
          <w:b/>
          <w:bCs/>
          <w:sz w:val="24"/>
          <w:szCs w:val="24"/>
          <w:lang w:bidi="ar-JO"/>
        </w:rPr>
        <w:t>Alnuaimi</w:t>
      </w:r>
      <w:proofErr w:type="spellEnd"/>
      <w:r w:rsidRPr="00D01250">
        <w:rPr>
          <w:rFonts w:ascii="Tw Cen MT" w:hAnsi="Tw Cen MT"/>
          <w:b/>
          <w:bCs/>
          <w:sz w:val="24"/>
          <w:szCs w:val="24"/>
          <w:lang w:bidi="ar-JO"/>
        </w:rPr>
        <w:t>, K,</w:t>
      </w:r>
      <w:r>
        <w:rPr>
          <w:rFonts w:ascii="Tw Cen MT" w:hAnsi="Tw Cen MT"/>
          <w:sz w:val="24"/>
          <w:szCs w:val="24"/>
          <w:lang w:bidi="ar-JO"/>
        </w:rPr>
        <w:t xml:space="preserve"> </w:t>
      </w:r>
      <w:proofErr w:type="spellStart"/>
      <w:r>
        <w:rPr>
          <w:rFonts w:ascii="Tw Cen MT" w:hAnsi="Tw Cen MT"/>
          <w:sz w:val="24"/>
          <w:szCs w:val="24"/>
          <w:lang w:bidi="ar-JO"/>
        </w:rPr>
        <w:t>Owis</w:t>
      </w:r>
      <w:proofErr w:type="spellEnd"/>
      <w:r>
        <w:rPr>
          <w:rFonts w:ascii="Tw Cen MT" w:hAnsi="Tw Cen MT"/>
          <w:sz w:val="24"/>
          <w:szCs w:val="24"/>
          <w:lang w:bidi="ar-JO"/>
        </w:rPr>
        <w:t xml:space="preserve">, A, </w:t>
      </w:r>
      <w:proofErr w:type="spellStart"/>
      <w:r>
        <w:rPr>
          <w:rFonts w:ascii="Tw Cen MT" w:hAnsi="Tw Cen MT"/>
          <w:sz w:val="24"/>
          <w:szCs w:val="24"/>
          <w:lang w:bidi="ar-JO"/>
        </w:rPr>
        <w:t>Hatoosh</w:t>
      </w:r>
      <w:proofErr w:type="spellEnd"/>
      <w:r>
        <w:rPr>
          <w:rFonts w:ascii="Tw Cen MT" w:hAnsi="Tw Cen MT"/>
          <w:sz w:val="24"/>
          <w:szCs w:val="24"/>
          <w:lang w:bidi="ar-JO"/>
        </w:rPr>
        <w:t>, H (2017</w:t>
      </w:r>
      <w:r w:rsidRPr="001B20D2">
        <w:rPr>
          <w:rFonts w:ascii="Tw Cen MT" w:hAnsi="Tw Cen MT"/>
          <w:sz w:val="24"/>
          <w:szCs w:val="24"/>
          <w:lang w:bidi="ar-JO"/>
        </w:rPr>
        <w:t xml:space="preserve">) </w:t>
      </w:r>
      <w:r w:rsidRPr="001B20D2">
        <w:t xml:space="preserve">Exploring </w:t>
      </w:r>
      <w:r w:rsidRPr="001B20D2">
        <w:rPr>
          <w:rFonts w:asciiTheme="majorBidi" w:hAnsiTheme="majorBidi" w:cstheme="majorBidi"/>
          <w:lang w:val="en-AU"/>
        </w:rPr>
        <w:t>Woman –Nurse Interaction in a</w:t>
      </w:r>
      <w:r w:rsidRPr="001B20D2">
        <w:rPr>
          <w:rFonts w:asciiTheme="majorBidi" w:hAnsiTheme="majorBidi" w:cstheme="majorBidi"/>
          <w:rtl/>
          <w:lang w:val="en-AU"/>
        </w:rPr>
        <w:t xml:space="preserve"> </w:t>
      </w:r>
      <w:r w:rsidRPr="001B20D2">
        <w:rPr>
          <w:rFonts w:asciiTheme="majorBidi" w:hAnsiTheme="majorBidi" w:cstheme="majorBidi"/>
          <w:lang w:val="en-AU"/>
        </w:rPr>
        <w:t>Jordanian Antenatal Clinic</w:t>
      </w:r>
      <w:r w:rsidR="001B20D2" w:rsidRPr="001B20D2">
        <w:rPr>
          <w:rFonts w:asciiTheme="majorBidi" w:hAnsiTheme="majorBidi" w:cstheme="majorBidi"/>
          <w:lang w:val="en-AU"/>
        </w:rPr>
        <w:t>.</w:t>
      </w:r>
      <w:proofErr w:type="gramEnd"/>
      <w:r w:rsidR="001B20D2" w:rsidRPr="001B20D2">
        <w:rPr>
          <w:rFonts w:asciiTheme="majorBidi" w:hAnsiTheme="majorBidi" w:cstheme="majorBidi"/>
          <w:lang w:val="en-AU"/>
        </w:rPr>
        <w:t xml:space="preserve"> </w:t>
      </w:r>
      <w:proofErr w:type="gramStart"/>
      <w:r w:rsidR="001B20D2" w:rsidRPr="001B20D2">
        <w:rPr>
          <w:rFonts w:asciiTheme="majorBidi" w:hAnsiTheme="majorBidi" w:cstheme="majorBidi"/>
          <w:lang w:val="en-AU"/>
        </w:rPr>
        <w:t>UNDER  RE</w:t>
      </w:r>
      <w:r w:rsidRPr="001B20D2">
        <w:rPr>
          <w:rFonts w:asciiTheme="majorBidi" w:hAnsiTheme="majorBidi" w:cstheme="majorBidi"/>
          <w:lang w:val="en-AU"/>
        </w:rPr>
        <w:t>VISION</w:t>
      </w:r>
      <w:proofErr w:type="gramEnd"/>
      <w:r w:rsidRPr="001B20D2">
        <w:rPr>
          <w:rFonts w:asciiTheme="majorBidi" w:hAnsiTheme="majorBidi" w:cstheme="majorBidi"/>
          <w:lang w:val="en-AU"/>
        </w:rPr>
        <w:t xml:space="preserve"> </w:t>
      </w:r>
    </w:p>
    <w:p w:rsidR="00C600D1" w:rsidRPr="008220D3" w:rsidRDefault="00C600D1" w:rsidP="00C600D1">
      <w:pPr>
        <w:widowControl w:val="0"/>
        <w:shd w:val="clear" w:color="auto" w:fill="FFFFFF"/>
        <w:spacing w:after="101" w:line="400" w:lineRule="exact"/>
        <w:ind w:left="100"/>
        <w:textAlignment w:val="baseline"/>
        <w:outlineLvl w:val="0"/>
        <w:rPr>
          <w:rFonts w:ascii="Tw Cen MT" w:eastAsia="Minion Pro" w:hAnsi="Tw Cen MT" w:cstheme="majorBidi"/>
          <w:sz w:val="24"/>
          <w:szCs w:val="24"/>
        </w:rPr>
      </w:pPr>
    </w:p>
    <w:p w:rsidR="007120CA" w:rsidRPr="00C600D1" w:rsidRDefault="007120CA">
      <w:pPr>
        <w:rPr>
          <w:rFonts w:ascii="Tw Cen MT" w:hAnsi="Tw Cen MT" w:cstheme="majorBidi"/>
          <w:sz w:val="24"/>
          <w:szCs w:val="24"/>
          <w:lang w:val="en-GB"/>
        </w:rPr>
      </w:pPr>
    </w:p>
    <w:p w:rsidR="007120CA" w:rsidRPr="008220D3" w:rsidRDefault="007120CA">
      <w:pPr>
        <w:rPr>
          <w:lang w:val="en-GB"/>
        </w:rPr>
      </w:pPr>
    </w:p>
    <w:sectPr w:rsidR="007120CA" w:rsidRPr="008220D3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20D3"/>
    <w:rsid w:val="001B20D2"/>
    <w:rsid w:val="006F6763"/>
    <w:rsid w:val="007120CA"/>
    <w:rsid w:val="007A410E"/>
    <w:rsid w:val="0081603A"/>
    <w:rsid w:val="008220D3"/>
    <w:rsid w:val="0084132E"/>
    <w:rsid w:val="00A4288F"/>
    <w:rsid w:val="00C600D1"/>
    <w:rsid w:val="00D01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413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603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13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603A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rmalWeb">
    <w:name w:val="Normal (Web)"/>
    <w:basedOn w:val="Normal"/>
    <w:uiPriority w:val="99"/>
    <w:semiHidden/>
    <w:unhideWhenUsed/>
    <w:rsid w:val="00A428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413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603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13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603A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rmalWeb">
    <w:name w:val="Normal (Web)"/>
    <w:basedOn w:val="Normal"/>
    <w:uiPriority w:val="99"/>
    <w:semiHidden/>
    <w:unhideWhenUsed/>
    <w:rsid w:val="00A428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5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24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59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556364">
          <w:blockQuote w:val="1"/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385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036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33648">
          <w:blockQuote w:val="1"/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50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sciencedirect.com/science/article/pii/S0882596317302579" TargetMode="External"/><Relationship Id="rId5" Type="http://schemas.openxmlformats.org/officeDocument/2006/relationships/hyperlink" Target="https://scholar.google.com/citations?user=4lfrr9EAAAAJ&amp;hl=en&amp;oi=sr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487</Words>
  <Characters>2779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9</cp:revision>
  <dcterms:created xsi:type="dcterms:W3CDTF">2017-10-20T16:28:00Z</dcterms:created>
  <dcterms:modified xsi:type="dcterms:W3CDTF">2017-10-20T17:14:00Z</dcterms:modified>
</cp:coreProperties>
</file>