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p>
    <w:p w:rsidR="00AE3E37" w:rsidRDefault="00200157" w:rsidP="00200157">
      <w:pPr>
        <w:pStyle w:val="Heading1"/>
        <w:spacing w:before="170"/>
      </w:pPr>
      <w:r>
        <w:rPr>
          <w:color w:val="337AB7"/>
        </w:rPr>
        <w:t xml:space="preserve">The </w:t>
      </w:r>
      <w:r w:rsidR="009E7BEC">
        <w:rPr>
          <w:color w:val="337AB7"/>
        </w:rPr>
        <w:t xml:space="preserve">Vital Role of Occupational Health Nurses and </w:t>
      </w:r>
      <w:r w:rsidR="00252C9F">
        <w:rPr>
          <w:color w:val="337AB7"/>
        </w:rPr>
        <w:t>the</w:t>
      </w:r>
      <w:r w:rsidR="009E7BEC">
        <w:rPr>
          <w:color w:val="337AB7"/>
        </w:rPr>
        <w:t xml:space="preserve"> Challenges Facing Them.</w:t>
      </w:r>
    </w:p>
    <w:p w:rsidR="00200157" w:rsidRDefault="00200157">
      <w:pPr>
        <w:pStyle w:val="BodyText"/>
        <w:spacing w:before="73" w:line="198" w:lineRule="exact"/>
        <w:ind w:left="100" w:right="5967"/>
        <w:rPr>
          <w:rFonts w:ascii="Arial"/>
        </w:rPr>
      </w:pPr>
      <w:r>
        <w:rPr>
          <w:rFonts w:ascii="Arial"/>
        </w:rPr>
        <w:t>RUBA HISHAM, RN, MSC, DUBAI, UAE</w:t>
      </w:r>
    </w:p>
    <w:p w:rsidR="00AE3E37" w:rsidRDefault="00A9710C" w:rsidP="00200157">
      <w:pPr>
        <w:pStyle w:val="BodyText"/>
        <w:spacing w:before="73" w:line="198" w:lineRule="exact"/>
        <w:ind w:left="100" w:right="5967"/>
        <w:rPr>
          <w:rFonts w:ascii="Arial"/>
        </w:rPr>
      </w:pPr>
      <w:r>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9E7BEC">
      <w:pPr>
        <w:pStyle w:val="Heading3"/>
        <w:spacing w:before="147"/>
        <w:jc w:val="both"/>
      </w:pPr>
      <w:r>
        <w:rPr>
          <w:color w:val="BF5A14"/>
        </w:rPr>
        <w:t>Abstract</w:t>
      </w:r>
      <w:r w:rsidR="00404E5B">
        <w:rPr>
          <w:color w:val="BF5A14"/>
        </w:rPr>
        <w:t xml:space="preserve"> </w:t>
      </w:r>
    </w:p>
    <w:p w:rsidR="00200157" w:rsidRPr="009E7BEC" w:rsidRDefault="00200157" w:rsidP="00B459D5">
      <w:pPr>
        <w:jc w:val="both"/>
        <w:rPr>
          <w:sz w:val="18"/>
          <w:szCs w:val="18"/>
        </w:rPr>
      </w:pPr>
      <w:r w:rsidRPr="009E7BEC">
        <w:rPr>
          <w:sz w:val="18"/>
          <w:szCs w:val="18"/>
        </w:rPr>
        <w:t>Occupational health nurses play many roles, in</w:t>
      </w:r>
      <w:r w:rsidRPr="009E7BEC">
        <w:rPr>
          <w:sz w:val="18"/>
          <w:szCs w:val="18"/>
        </w:rPr>
        <w:softHyphen/>
        <w:t>cluding but not limited to clinician, manager, educa</w:t>
      </w:r>
      <w:r w:rsidRPr="009E7BEC">
        <w:rPr>
          <w:sz w:val="18"/>
          <w:szCs w:val="18"/>
        </w:rPr>
        <w:softHyphen/>
        <w:t xml:space="preserve">tor, researcher, consultant, and case </w:t>
      </w:r>
      <w:r w:rsidR="00252C9F" w:rsidRPr="009E7BEC">
        <w:rPr>
          <w:sz w:val="18"/>
          <w:szCs w:val="18"/>
        </w:rPr>
        <w:t xml:space="preserve">manager. </w:t>
      </w:r>
      <w:r w:rsidRPr="009E7BEC">
        <w:rPr>
          <w:sz w:val="18"/>
          <w:szCs w:val="18"/>
        </w:rPr>
        <w:t>These roles may be played independently or integrated into the health care team through collabora</w:t>
      </w:r>
      <w:r w:rsidRPr="009E7BEC">
        <w:rPr>
          <w:sz w:val="18"/>
          <w:szCs w:val="18"/>
        </w:rPr>
        <w:softHyphen/>
        <w:t>tion with other disciplines’ professionals. Professional activities may include health protection, health promo</w:t>
      </w:r>
      <w:r w:rsidRPr="009E7BEC">
        <w:rPr>
          <w:sz w:val="18"/>
          <w:szCs w:val="18"/>
        </w:rPr>
        <w:softHyphen/>
        <w:t>tion, or both, designed to reduce health risks, support productivity, improve workers’ quality of life, and be cost-effective for the organization (Graeve, McGov</w:t>
      </w:r>
      <w:r w:rsidRPr="009E7BEC">
        <w:rPr>
          <w:sz w:val="18"/>
          <w:szCs w:val="18"/>
        </w:rPr>
        <w:softHyphen/>
        <w:t xml:space="preserve">ern, Nachreiner, &amp; Ayers, 2014; Henke et al., 2010). </w:t>
      </w:r>
    </w:p>
    <w:p w:rsidR="00200157" w:rsidRPr="009E7BEC" w:rsidRDefault="00252C9F" w:rsidP="00200157">
      <w:pPr>
        <w:jc w:val="both"/>
        <w:rPr>
          <w:sz w:val="18"/>
          <w:szCs w:val="18"/>
        </w:rPr>
      </w:pPr>
      <w:r w:rsidRPr="009E7BEC">
        <w:rPr>
          <w:sz w:val="18"/>
          <w:szCs w:val="18"/>
        </w:rPr>
        <w:t>In</w:t>
      </w:r>
      <w:r w:rsidR="00200157" w:rsidRPr="009E7BEC">
        <w:rPr>
          <w:sz w:val="18"/>
          <w:szCs w:val="18"/>
        </w:rPr>
        <w:t xml:space="preserve"> addition occupational health services, provided at the workplace to address the health care needs of working populations have been identified as an important component of the public health strategy. These services can also make a significant contribution to other government initiatives, such as; reducing health inequalities, reducing social exclusion and sickness absence, and by protecting and promoting the health of the working population occupational health services can help to reduce the overall burden of ill health.</w:t>
      </w:r>
    </w:p>
    <w:p w:rsidR="00200157" w:rsidRPr="009E7BEC" w:rsidRDefault="00200157" w:rsidP="00200157">
      <w:pPr>
        <w:pStyle w:val="Default"/>
        <w:jc w:val="both"/>
        <w:rPr>
          <w:rFonts w:ascii="Tw Cen MT" w:eastAsia="Tw Cen MT" w:hAnsi="Tw Cen MT" w:cs="Tw Cen MT"/>
          <w:color w:val="auto"/>
          <w:sz w:val="18"/>
          <w:szCs w:val="18"/>
        </w:rPr>
      </w:pPr>
      <w:r w:rsidRPr="009E7BEC">
        <w:rPr>
          <w:rFonts w:ascii="Tw Cen MT" w:eastAsia="Tw Cen MT" w:hAnsi="Tw Cen MT" w:cs="Tw Cen MT"/>
          <w:color w:val="auto"/>
          <w:sz w:val="18"/>
          <w:szCs w:val="18"/>
        </w:rPr>
        <w:t xml:space="preserve">Access to occupational health services for primary prevention and control of work-related injuries and illnesses by the global workforce is limited (World Health Organization [WHO], 2013). From the WHO survey of 121 (61%) participating countries, only one-third of the responding countries provided occupational health services to more than 30% of their workers (2013). </w:t>
      </w:r>
    </w:p>
    <w:p w:rsidR="00200157" w:rsidRPr="009E7BEC" w:rsidRDefault="00200157" w:rsidP="00200157">
      <w:pPr>
        <w:pStyle w:val="Default"/>
        <w:jc w:val="both"/>
        <w:rPr>
          <w:rFonts w:ascii="Tw Cen MT" w:eastAsia="Tw Cen MT" w:hAnsi="Tw Cen MT" w:cs="Tw Cen MT"/>
          <w:color w:val="auto"/>
          <w:sz w:val="18"/>
          <w:szCs w:val="18"/>
        </w:rPr>
      </w:pPr>
    </w:p>
    <w:p w:rsidR="00200157" w:rsidRPr="009E7BEC" w:rsidRDefault="00200157" w:rsidP="00200157">
      <w:pPr>
        <w:pStyle w:val="Default"/>
        <w:jc w:val="both"/>
        <w:rPr>
          <w:rFonts w:ascii="Tw Cen MT" w:eastAsia="Tw Cen MT" w:hAnsi="Tw Cen MT" w:cs="Tw Cen MT"/>
          <w:color w:val="auto"/>
          <w:sz w:val="18"/>
          <w:szCs w:val="18"/>
        </w:rPr>
      </w:pPr>
      <w:r w:rsidRPr="009E7BEC">
        <w:rPr>
          <w:rFonts w:ascii="Tw Cen MT" w:eastAsia="Tw Cen MT" w:hAnsi="Tw Cen MT" w:cs="Tw Cen MT"/>
          <w:color w:val="auto"/>
          <w:sz w:val="18"/>
          <w:szCs w:val="18"/>
        </w:rPr>
        <w:t xml:space="preserve">In this presentation the main topic is the vital role of occupational health nurse according to WHO role definition and the challenges facing this profession. </w:t>
      </w:r>
    </w:p>
    <w:p w:rsidR="00AE3E37" w:rsidRDefault="00AE3E37" w:rsidP="00200157">
      <w:pPr>
        <w:pStyle w:val="BodyText"/>
        <w:spacing w:before="90" w:line="280" w:lineRule="auto"/>
        <w:ind w:left="100"/>
        <w:jc w:val="both"/>
      </w:pPr>
    </w:p>
    <w:p w:rsidR="00AE3E37" w:rsidRPr="009E7BEC" w:rsidRDefault="00A9710C" w:rsidP="00200157">
      <w:pPr>
        <w:pStyle w:val="Heading3"/>
        <w:spacing w:before="74"/>
        <w:rPr>
          <w:rFonts w:ascii="Tw Cen MT" w:eastAsia="Tw Cen MT" w:hAnsi="Tw Cen MT" w:cs="Tw Cen MT"/>
          <w:b w:val="0"/>
          <w:bCs w:val="0"/>
          <w:sz w:val="18"/>
          <w:szCs w:val="18"/>
        </w:rPr>
      </w:pPr>
      <w:r w:rsidRPr="009E7BEC">
        <w:rPr>
          <w:rFonts w:ascii="Tw Cen MT" w:eastAsia="Tw Cen MT" w:hAnsi="Tw Cen MT" w:cs="Tw Cen MT"/>
          <w:b w:val="0"/>
          <w:bCs w:val="0"/>
          <w:sz w:val="18"/>
          <w:szCs w:val="18"/>
        </w:rPr>
        <w:br w:type="column"/>
      </w:r>
    </w:p>
    <w:p w:rsidR="00AE3E37" w:rsidRPr="009E7BEC" w:rsidRDefault="00AE3E37">
      <w:pPr>
        <w:pStyle w:val="BodyText"/>
        <w:spacing w:before="2"/>
      </w:pPr>
    </w:p>
    <w:p w:rsidR="00AE3E37" w:rsidRPr="009E7BEC" w:rsidRDefault="00414F7B" w:rsidP="009E7BEC">
      <w:pPr>
        <w:spacing w:before="157"/>
        <w:ind w:left="100"/>
        <w:rPr>
          <w:sz w:val="18"/>
          <w:szCs w:val="18"/>
        </w:rPr>
      </w:pPr>
      <w:r w:rsidRPr="009E7BEC">
        <w:rPr>
          <w:sz w:val="18"/>
          <w:szCs w:val="18"/>
        </w:rPr>
        <w:t>Recent publi</w:t>
      </w:r>
      <w:r w:rsidR="00C33602" w:rsidRPr="009E7BEC">
        <w:rPr>
          <w:sz w:val="18"/>
          <w:szCs w:val="18"/>
        </w:rPr>
        <w:t xml:space="preserve">cations </w:t>
      </w:r>
    </w:p>
    <w:p w:rsidR="009E7BEC" w:rsidRPr="00544D03" w:rsidRDefault="00252C9F" w:rsidP="00544D03">
      <w:pPr>
        <w:pStyle w:val="ListParagraph"/>
        <w:numPr>
          <w:ilvl w:val="0"/>
          <w:numId w:val="5"/>
        </w:numPr>
        <w:tabs>
          <w:tab w:val="left" w:pos="384"/>
        </w:tabs>
        <w:spacing w:before="99"/>
        <w:ind w:right="118"/>
        <w:rPr>
          <w:sz w:val="18"/>
          <w:szCs w:val="18"/>
        </w:rPr>
      </w:pPr>
      <w:r w:rsidRPr="00544D03">
        <w:rPr>
          <w:sz w:val="18"/>
          <w:szCs w:val="18"/>
        </w:rPr>
        <w:t>Play</w:t>
      </w:r>
      <w:r w:rsidR="009E7BEC" w:rsidRPr="00544D03">
        <w:rPr>
          <w:sz w:val="18"/>
          <w:szCs w:val="18"/>
        </w:rPr>
        <w:t xml:space="preserve"> increasingly diverse roles in service delivery (McAdams, Kerwin, Olivo, &amp; Goksel, 2011; Thompson &amp; Wachs, 2012). Thompson, M. C., &amp; Wachs, J. E. (2012). Occupational health nursing in the United States. Workplace Health &amp; Safety, 60, 127-133.</w:t>
      </w:r>
    </w:p>
    <w:p w:rsidR="009E7BEC" w:rsidRPr="00544D03" w:rsidRDefault="009E7BEC" w:rsidP="00544D03">
      <w:pPr>
        <w:pStyle w:val="ListParagraph"/>
        <w:numPr>
          <w:ilvl w:val="0"/>
          <w:numId w:val="5"/>
        </w:numPr>
        <w:tabs>
          <w:tab w:val="left" w:pos="384"/>
        </w:tabs>
        <w:spacing w:before="99"/>
        <w:ind w:right="118"/>
        <w:rPr>
          <w:sz w:val="18"/>
          <w:szCs w:val="18"/>
        </w:rPr>
      </w:pPr>
      <w:r w:rsidRPr="00544D03">
        <w:rPr>
          <w:sz w:val="18"/>
          <w:szCs w:val="18"/>
        </w:rPr>
        <w:t>Graeve, C., McGovern. P., Nachreiner, N. M., &amp; Ayers, l. (2014). Es</w:t>
      </w:r>
      <w:r w:rsidRPr="00544D03">
        <w:rPr>
          <w:sz w:val="18"/>
          <w:szCs w:val="18"/>
        </w:rPr>
        <w:softHyphen/>
        <w:t>tablishing the value of occupational health nurses’ contributions to worker health and safety: A pilot test of a user-friendly estimation tool. Workplace Health and Safety, 62, 36-43.</w:t>
      </w:r>
    </w:p>
    <w:p w:rsidR="009E7BEC" w:rsidRPr="00544D03" w:rsidRDefault="009E7BEC" w:rsidP="00544D03">
      <w:pPr>
        <w:pStyle w:val="ListParagraph"/>
        <w:numPr>
          <w:ilvl w:val="0"/>
          <w:numId w:val="5"/>
        </w:numPr>
        <w:tabs>
          <w:tab w:val="left" w:pos="384"/>
        </w:tabs>
        <w:spacing w:before="99"/>
        <w:ind w:right="118"/>
        <w:rPr>
          <w:sz w:val="18"/>
          <w:szCs w:val="18"/>
        </w:rPr>
      </w:pPr>
      <w:r w:rsidRPr="00544D03">
        <w:rPr>
          <w:sz w:val="18"/>
          <w:szCs w:val="18"/>
        </w:rPr>
        <w:t>www. Who .com</w:t>
      </w:r>
    </w:p>
    <w:p w:rsidR="009E7BEC" w:rsidRDefault="009E7BEC" w:rsidP="00544D03">
      <w:pPr>
        <w:spacing w:line="200" w:lineRule="exact"/>
        <w:jc w:val="both"/>
        <w:rPr>
          <w:sz w:val="18"/>
          <w:szCs w:val="18"/>
        </w:rPr>
      </w:pPr>
    </w:p>
    <w:p w:rsidR="00544D03" w:rsidRDefault="00544D03">
      <w:pPr>
        <w:spacing w:line="200" w:lineRule="exact"/>
        <w:jc w:val="both"/>
        <w:rPr>
          <w:sz w:val="18"/>
          <w:szCs w:val="18"/>
        </w:rPr>
      </w:pPr>
    </w:p>
    <w:p w:rsidR="00544D03" w:rsidRPr="00544D03" w:rsidRDefault="00544D03" w:rsidP="00544D03">
      <w:pPr>
        <w:pStyle w:val="ListParagraph"/>
        <w:numPr>
          <w:ilvl w:val="0"/>
          <w:numId w:val="5"/>
        </w:numPr>
        <w:tabs>
          <w:tab w:val="left" w:pos="384"/>
        </w:tabs>
        <w:spacing w:before="99"/>
        <w:ind w:right="118"/>
        <w:rPr>
          <w:sz w:val="18"/>
          <w:szCs w:val="18"/>
        </w:rPr>
      </w:pPr>
      <w:r w:rsidRPr="00544D03">
        <w:rPr>
          <w:sz w:val="18"/>
          <w:szCs w:val="18"/>
        </w:rPr>
        <w:t>OiSaeng Hong, Elizabeth Anne Thomas(2013) Global Occupational Health and Safety Responsibilities of Occupational Health Nurses Based in the United States WORKPLACE HEALTH &amp; SAFETY • VOL. 61, NO. 7.</w:t>
      </w:r>
    </w:p>
    <w:p w:rsidR="00544D03" w:rsidRDefault="00544D03" w:rsidP="00544D03">
      <w:pPr>
        <w:tabs>
          <w:tab w:val="left" w:pos="384"/>
        </w:tabs>
        <w:spacing w:before="99"/>
        <w:ind w:left="100" w:right="118"/>
        <w:rPr>
          <w:sz w:val="18"/>
          <w:szCs w:val="18"/>
        </w:rPr>
      </w:pPr>
    </w:p>
    <w:p w:rsidR="00544D03" w:rsidRPr="00544D03" w:rsidRDefault="00544D03" w:rsidP="00544D03">
      <w:pPr>
        <w:pStyle w:val="ListParagraph"/>
        <w:numPr>
          <w:ilvl w:val="0"/>
          <w:numId w:val="5"/>
        </w:numPr>
        <w:tabs>
          <w:tab w:val="left" w:pos="384"/>
        </w:tabs>
        <w:spacing w:before="99"/>
        <w:ind w:right="118"/>
        <w:rPr>
          <w:sz w:val="18"/>
          <w:szCs w:val="18"/>
        </w:rPr>
      </w:pPr>
      <w:r w:rsidRPr="00544D03">
        <w:rPr>
          <w:sz w:val="18"/>
          <w:szCs w:val="18"/>
        </w:rPr>
        <w:t xml:space="preserve">Yolanda C. Lang, A Clinical Ladder for Occupational Health Nurses </w:t>
      </w:r>
      <w:r>
        <w:rPr>
          <w:sz w:val="18"/>
          <w:szCs w:val="18"/>
        </w:rPr>
        <w:t>,</w:t>
      </w:r>
      <w:r w:rsidRPr="00544D03">
        <w:rPr>
          <w:sz w:val="18"/>
          <w:szCs w:val="18"/>
        </w:rPr>
        <w:t>AAOHN Journal • Vol. 58, No. 6, 2010</w:t>
      </w:r>
    </w:p>
    <w:p w:rsidR="00544D03" w:rsidRPr="009E7BEC" w:rsidRDefault="00544D03">
      <w:pPr>
        <w:spacing w:line="200" w:lineRule="exact"/>
        <w:jc w:val="both"/>
        <w:rPr>
          <w:sz w:val="18"/>
          <w:szCs w:val="18"/>
        </w:rPr>
        <w:sectPr w:rsidR="00544D03" w:rsidRPr="009E7BEC">
          <w:type w:val="continuous"/>
          <w:pgSz w:w="11910" w:h="16840"/>
          <w:pgMar w:top="1740" w:right="600" w:bottom="840" w:left="620" w:header="720" w:footer="720" w:gutter="0"/>
          <w:cols w:num="2" w:space="720" w:equalWidth="0">
            <w:col w:w="5214" w:space="138"/>
            <w:col w:w="5338"/>
          </w:cols>
        </w:sectPr>
      </w:pPr>
    </w:p>
    <w:p w:rsidR="00AE3E37" w:rsidRPr="009E7BEC" w:rsidRDefault="00AE3E37">
      <w:pPr>
        <w:pStyle w:val="BodyText"/>
      </w:pPr>
    </w:p>
    <w:p w:rsidR="00AE3E37" w:rsidRPr="009E7BEC" w:rsidRDefault="00AE3E37">
      <w:pPr>
        <w:pStyle w:val="BodyText"/>
      </w:pPr>
    </w:p>
    <w:p w:rsidR="00AE3E37" w:rsidRDefault="00AE3E37">
      <w:pPr>
        <w:pStyle w:val="BodyText"/>
        <w:spacing w:before="5" w:after="1"/>
        <w:rPr>
          <w:rFonts w:ascii="Calibri"/>
          <w:sz w:val="29"/>
        </w:rPr>
      </w:pPr>
    </w:p>
    <w:p w:rsidR="00AE3E37" w:rsidRDefault="00AE352A">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2540" t="2540" r="3175" b="63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56D11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ALWAz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Default="00404E5B" w:rsidP="00404E5B">
      <w:pPr>
        <w:spacing w:before="92"/>
        <w:ind w:right="4234"/>
        <w:rPr>
          <w:rFonts w:ascii="Arial"/>
        </w:rPr>
      </w:pPr>
      <w:r>
        <w:rPr>
          <w:rFonts w:ascii="Arial"/>
          <w:color w:val="BF5A14"/>
        </w:rPr>
        <w:t xml:space="preserve">                                          </w:t>
      </w:r>
      <w:r w:rsidR="00A9710C">
        <w:rPr>
          <w:rFonts w:ascii="Arial"/>
          <w:color w:val="BF5A14"/>
        </w:rPr>
        <w:t>Biography</w:t>
      </w:r>
      <w:r>
        <w:rPr>
          <w:rFonts w:ascii="Arial"/>
          <w:color w:val="BF5A14"/>
        </w:rPr>
        <w:t xml:space="preserve"> (</w:t>
      </w:r>
      <w:r w:rsidR="00AE352A">
        <w:rPr>
          <w:rFonts w:ascii="Arial"/>
          <w:color w:val="BF5A14"/>
        </w:rPr>
        <w:t>150-word</w:t>
      </w:r>
      <w:r>
        <w:rPr>
          <w:rFonts w:ascii="Arial"/>
          <w:color w:val="BF5A14"/>
        </w:rPr>
        <w:t xml:space="preserve"> limit)</w:t>
      </w:r>
    </w:p>
    <w:p w:rsidR="00AE352A" w:rsidRPr="00AE352A" w:rsidRDefault="00AE352A" w:rsidP="00AE352A">
      <w:pPr>
        <w:ind w:left="540"/>
        <w:jc w:val="lowKashida"/>
        <w:rPr>
          <w:rFonts w:ascii="Book Antiqua" w:hAnsi="Book Antiqua"/>
          <w:b/>
          <w:sz w:val="18"/>
          <w:szCs w:val="18"/>
          <w:u w:val="single"/>
        </w:rPr>
      </w:pPr>
      <w:r w:rsidRPr="00AE352A">
        <w:rPr>
          <w:rFonts w:asciiTheme="majorBidi" w:hAnsiTheme="majorBidi" w:cstheme="majorBidi"/>
          <w:b/>
          <w:bCs/>
          <w:sz w:val="18"/>
          <w:szCs w:val="18"/>
        </w:rPr>
        <w:t xml:space="preserve">Ms. Ruba Al Jaber is a senior staff nurse since 2001.Graduated from institute of Nursing - Dubai, and got a master professional diploma in Strategy &amp; Development-City &amp; Guilds University-UK, currently studying NEBOSH international Diploma for Occupational Health &amp; Safety. Undertaken the role of occupational health nurse and had significant contributions to OH services. Actively involved in PCI committee/Occupational health committee/Wellness Promotion committee. </w:t>
      </w:r>
      <w:r w:rsidRPr="00AE352A">
        <w:rPr>
          <w:rFonts w:ascii="Book Antiqua" w:hAnsi="Book Antiqua"/>
          <w:b/>
          <w:sz w:val="18"/>
          <w:szCs w:val="18"/>
        </w:rPr>
        <w:t>Conducts surveillance and monitors staff compliance for follow up of:</w:t>
      </w:r>
    </w:p>
    <w:p w:rsidR="00AE352A" w:rsidRPr="00AE352A" w:rsidRDefault="00AE352A" w:rsidP="00AE352A">
      <w:pPr>
        <w:widowControl/>
        <w:numPr>
          <w:ilvl w:val="0"/>
          <w:numId w:val="6"/>
        </w:numPr>
        <w:jc w:val="both"/>
        <w:rPr>
          <w:rFonts w:ascii="Book Antiqua" w:hAnsi="Book Antiqua"/>
          <w:b/>
          <w:sz w:val="18"/>
          <w:szCs w:val="18"/>
        </w:rPr>
      </w:pPr>
      <w:r w:rsidRPr="00AE352A">
        <w:rPr>
          <w:rFonts w:ascii="Book Antiqua" w:hAnsi="Book Antiqua"/>
          <w:b/>
          <w:sz w:val="18"/>
          <w:szCs w:val="18"/>
        </w:rPr>
        <w:t>Needle stick injury/muc</w:t>
      </w:r>
      <w:bookmarkStart w:id="0" w:name="_GoBack"/>
      <w:bookmarkEnd w:id="0"/>
      <w:r w:rsidRPr="00AE352A">
        <w:rPr>
          <w:rFonts w:ascii="Book Antiqua" w:hAnsi="Book Antiqua"/>
          <w:b/>
          <w:sz w:val="18"/>
          <w:szCs w:val="18"/>
        </w:rPr>
        <w:t>ous membrane exposure/staff injury</w:t>
      </w:r>
    </w:p>
    <w:p w:rsidR="00AE352A" w:rsidRPr="00AE352A" w:rsidRDefault="00AE352A" w:rsidP="00AE352A">
      <w:pPr>
        <w:widowControl/>
        <w:numPr>
          <w:ilvl w:val="0"/>
          <w:numId w:val="6"/>
        </w:numPr>
        <w:jc w:val="both"/>
        <w:rPr>
          <w:rFonts w:ascii="Book Antiqua" w:hAnsi="Book Antiqua"/>
          <w:b/>
          <w:sz w:val="18"/>
          <w:szCs w:val="18"/>
        </w:rPr>
      </w:pPr>
      <w:r w:rsidRPr="00AE352A">
        <w:rPr>
          <w:rFonts w:ascii="Book Antiqua" w:hAnsi="Book Antiqua"/>
          <w:b/>
          <w:sz w:val="18"/>
          <w:szCs w:val="18"/>
        </w:rPr>
        <w:t>HCWs vaccinations.</w:t>
      </w:r>
    </w:p>
    <w:p w:rsidR="00AE352A" w:rsidRPr="00AE352A" w:rsidRDefault="00AE352A" w:rsidP="00AE352A">
      <w:pPr>
        <w:pStyle w:val="ListParagraph"/>
        <w:widowControl/>
        <w:numPr>
          <w:ilvl w:val="0"/>
          <w:numId w:val="6"/>
        </w:numPr>
        <w:spacing w:before="0" w:after="200" w:line="276" w:lineRule="auto"/>
        <w:contextualSpacing/>
        <w:jc w:val="left"/>
        <w:rPr>
          <w:rFonts w:asciiTheme="majorBidi" w:hAnsiTheme="majorBidi" w:cstheme="majorBidi"/>
          <w:b/>
          <w:sz w:val="18"/>
          <w:szCs w:val="18"/>
        </w:rPr>
      </w:pPr>
      <w:r w:rsidRPr="00AE352A">
        <w:rPr>
          <w:rFonts w:ascii="Book Antiqua" w:hAnsi="Book Antiqua"/>
          <w:b/>
          <w:sz w:val="18"/>
          <w:szCs w:val="18"/>
        </w:rPr>
        <w:t>Communicable disease exposure</w:t>
      </w:r>
      <w:r w:rsidRPr="00AE352A">
        <w:rPr>
          <w:rFonts w:asciiTheme="majorBidi" w:hAnsiTheme="majorBidi" w:cstheme="majorBidi"/>
          <w:b/>
          <w:sz w:val="18"/>
          <w:szCs w:val="18"/>
        </w:rPr>
        <w:t xml:space="preserve"> </w:t>
      </w:r>
    </w:p>
    <w:p w:rsidR="00AE352A" w:rsidRPr="00AE352A" w:rsidRDefault="00AE352A" w:rsidP="00AE352A">
      <w:pPr>
        <w:jc w:val="lowKashida"/>
        <w:rPr>
          <w:rFonts w:ascii="Book Antiqua" w:hAnsi="Book Antiqua"/>
          <w:b/>
          <w:bCs/>
          <w:sz w:val="18"/>
          <w:szCs w:val="18"/>
        </w:rPr>
      </w:pPr>
      <w:r w:rsidRPr="00AE352A">
        <w:rPr>
          <w:rFonts w:ascii="Book Antiqua" w:hAnsi="Book Antiqua"/>
          <w:b/>
          <w:bCs/>
          <w:sz w:val="18"/>
          <w:szCs w:val="18"/>
        </w:rPr>
        <w:t>Participated as Speaker in:</w:t>
      </w:r>
    </w:p>
    <w:p w:rsidR="00AE352A" w:rsidRPr="00AE352A" w:rsidRDefault="00AE352A" w:rsidP="00AE352A">
      <w:pPr>
        <w:ind w:left="540"/>
        <w:jc w:val="lowKashida"/>
        <w:rPr>
          <w:rFonts w:ascii="Book Antiqua" w:hAnsi="Book Antiqua"/>
          <w:b/>
          <w:bCs/>
          <w:sz w:val="18"/>
          <w:szCs w:val="18"/>
        </w:rPr>
      </w:pPr>
      <w:r w:rsidRPr="00AE352A">
        <w:rPr>
          <w:rFonts w:ascii="Book Antiqua" w:hAnsi="Book Antiqua"/>
          <w:b/>
          <w:bCs/>
          <w:sz w:val="18"/>
          <w:szCs w:val="18"/>
        </w:rPr>
        <w:t>- In-service nursing education programme on monthly basis about Occupational Health programme</w:t>
      </w:r>
    </w:p>
    <w:p w:rsidR="00AE352A" w:rsidRPr="00AE352A" w:rsidRDefault="00AE352A" w:rsidP="00AE352A">
      <w:pPr>
        <w:ind w:left="540"/>
        <w:jc w:val="lowKashida"/>
        <w:rPr>
          <w:rFonts w:ascii="Book Antiqua" w:hAnsi="Book Antiqua"/>
          <w:b/>
          <w:bCs/>
          <w:sz w:val="18"/>
          <w:szCs w:val="18"/>
        </w:rPr>
      </w:pPr>
      <w:r w:rsidRPr="00AE352A">
        <w:rPr>
          <w:rFonts w:ascii="Book Antiqua" w:hAnsi="Book Antiqua"/>
          <w:b/>
          <w:bCs/>
          <w:sz w:val="18"/>
          <w:szCs w:val="18"/>
        </w:rPr>
        <w:t>-Nursing Role in Management of HIV Patient, March/2009.</w:t>
      </w:r>
    </w:p>
    <w:p w:rsidR="00AE352A" w:rsidRPr="00AE352A" w:rsidRDefault="00AE352A" w:rsidP="00AE352A">
      <w:pPr>
        <w:ind w:left="540"/>
        <w:jc w:val="lowKashida"/>
        <w:rPr>
          <w:rFonts w:ascii="Book Antiqua" w:hAnsi="Book Antiqua"/>
          <w:b/>
          <w:bCs/>
          <w:sz w:val="18"/>
          <w:szCs w:val="18"/>
        </w:rPr>
      </w:pPr>
      <w:r w:rsidRPr="00AE352A">
        <w:rPr>
          <w:rFonts w:ascii="Book Antiqua" w:hAnsi="Book Antiqua"/>
          <w:b/>
          <w:bCs/>
          <w:sz w:val="18"/>
          <w:szCs w:val="18"/>
        </w:rPr>
        <w:t>-Occupational Health Overview in Hospital Quality Meeting January/2015</w:t>
      </w:r>
    </w:p>
    <w:p w:rsidR="00AE352A" w:rsidRPr="00AE352A" w:rsidRDefault="00AE352A" w:rsidP="00AE352A">
      <w:pPr>
        <w:ind w:left="540"/>
        <w:jc w:val="lowKashida"/>
        <w:rPr>
          <w:rFonts w:ascii="Book Antiqua" w:hAnsi="Book Antiqua"/>
          <w:b/>
          <w:bCs/>
          <w:sz w:val="18"/>
          <w:szCs w:val="18"/>
        </w:rPr>
      </w:pPr>
      <w:r w:rsidRPr="00AE352A">
        <w:rPr>
          <w:rFonts w:ascii="Book Antiqua" w:hAnsi="Book Antiqua"/>
          <w:b/>
          <w:bCs/>
          <w:sz w:val="18"/>
          <w:szCs w:val="18"/>
        </w:rPr>
        <w:t>-Infection control link nurses programme &amp; Hospital Orientation Programme.</w:t>
      </w:r>
    </w:p>
    <w:p w:rsidR="00AE352A" w:rsidRPr="00AE352A" w:rsidRDefault="00AE352A" w:rsidP="00AE352A">
      <w:pPr>
        <w:rPr>
          <w:rFonts w:asciiTheme="majorBidi" w:hAnsiTheme="majorBidi" w:cstheme="majorBidi"/>
          <w:b/>
          <w:bCs/>
          <w:sz w:val="18"/>
          <w:szCs w:val="18"/>
        </w:rPr>
      </w:pPr>
    </w:p>
    <w:p w:rsidR="00AE352A" w:rsidRPr="00AE352A" w:rsidRDefault="00AE352A" w:rsidP="00AE352A">
      <w:pPr>
        <w:rPr>
          <w:sz w:val="18"/>
          <w:szCs w:val="18"/>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2C8" w:rsidRDefault="004512C8">
      <w:r>
        <w:separator/>
      </w:r>
    </w:p>
  </w:endnote>
  <w:endnote w:type="continuationSeparator" w:id="0">
    <w:p w:rsidR="004512C8" w:rsidRDefault="00451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52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4605" b="254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6985" b="133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0795" b="381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2C8" w:rsidRDefault="004512C8">
      <w:r>
        <w:separator/>
      </w:r>
    </w:p>
  </w:footnote>
  <w:footnote w:type="continuationSeparator" w:id="0">
    <w:p w:rsidR="004512C8" w:rsidRDefault="004512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52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1430" b="254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2540" b="158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82BFA"/>
    <w:multiLevelType w:val="hybridMultilevel"/>
    <w:tmpl w:val="BEDEB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43F4608"/>
    <w:multiLevelType w:val="hybridMultilevel"/>
    <w:tmpl w:val="BC7EA60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582D0735"/>
    <w:multiLevelType w:val="hybridMultilevel"/>
    <w:tmpl w:val="607AA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766D01C8"/>
    <w:multiLevelType w:val="hybridMultilevel"/>
    <w:tmpl w:val="1C5C6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BBF"/>
    <w:rsid w:val="000E2911"/>
    <w:rsid w:val="001263DF"/>
    <w:rsid w:val="00200157"/>
    <w:rsid w:val="00252C9F"/>
    <w:rsid w:val="00404E5B"/>
    <w:rsid w:val="00414F7B"/>
    <w:rsid w:val="004355DC"/>
    <w:rsid w:val="004512C8"/>
    <w:rsid w:val="004749B4"/>
    <w:rsid w:val="004F3523"/>
    <w:rsid w:val="00544D03"/>
    <w:rsid w:val="005B3A56"/>
    <w:rsid w:val="006060CE"/>
    <w:rsid w:val="0063497F"/>
    <w:rsid w:val="00815B72"/>
    <w:rsid w:val="00873DF0"/>
    <w:rsid w:val="009B2D44"/>
    <w:rsid w:val="009E7BEC"/>
    <w:rsid w:val="00A9710C"/>
    <w:rsid w:val="00AE352A"/>
    <w:rsid w:val="00AE3E37"/>
    <w:rsid w:val="00B21A57"/>
    <w:rsid w:val="00B459D5"/>
    <w:rsid w:val="00B7128E"/>
    <w:rsid w:val="00C33602"/>
    <w:rsid w:val="00CD6F55"/>
    <w:rsid w:val="00DD353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1A9C63-719A-4681-8AE0-9E77E972D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paragraph" w:customStyle="1" w:styleId="Default">
    <w:name w:val="Default"/>
    <w:rsid w:val="00200157"/>
    <w:pPr>
      <w:widowControl/>
      <w:autoSpaceDE w:val="0"/>
      <w:autoSpaceDN w:val="0"/>
      <w:adjustRightInd w:val="0"/>
    </w:pPr>
    <w:rPr>
      <w:rFonts w:ascii="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Ruba Hisham Al Jaber</cp:lastModifiedBy>
  <cp:revision>2</cp:revision>
  <dcterms:created xsi:type="dcterms:W3CDTF">2017-10-09T06:00:00Z</dcterms:created>
  <dcterms:modified xsi:type="dcterms:W3CDTF">2017-10-09T06:00:00Z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