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E4D06" w14:textId="77777777" w:rsidR="00D86D8C" w:rsidRDefault="00D86D8C" w:rsidP="00D86D8C">
      <w:pPr>
        <w:pStyle w:val="1"/>
        <w:spacing w:before="170"/>
        <w:ind w:left="0"/>
      </w:pPr>
      <w:r>
        <w:rPr>
          <w:color w:val="337AB7"/>
        </w:rPr>
        <w:t>DOCK1 insufficiency disrupts trophoblast function and pregnancy disorders</w:t>
      </w:r>
    </w:p>
    <w:p w14:paraId="19EDB008" w14:textId="77777777" w:rsidR="00D86D8C" w:rsidRDefault="00D86D8C" w:rsidP="00D86D8C">
      <w:pPr>
        <w:pStyle w:val="a3"/>
        <w:spacing w:before="73" w:line="198" w:lineRule="exact"/>
        <w:ind w:left="100" w:right="5987"/>
        <w:rPr>
          <w:rFonts w:ascii="Arial"/>
        </w:rPr>
      </w:pPr>
      <w:r>
        <w:rPr>
          <w:rFonts w:ascii="Arial"/>
        </w:rPr>
        <w:t xml:space="preserve">Dr </w:t>
      </w:r>
      <w:proofErr w:type="spellStart"/>
      <w:r>
        <w:rPr>
          <w:rFonts w:ascii="Arial"/>
        </w:rPr>
        <w:t>Yichi</w:t>
      </w:r>
      <w:proofErr w:type="spellEnd"/>
      <w:r>
        <w:rPr>
          <w:rFonts w:ascii="Arial"/>
        </w:rPr>
        <w:t>, Xu PhD, The International Peace Maternity and Child Health Hospital, School of Medicine, Shanghai Jiao Tong University, Shanghai, China</w:t>
      </w:r>
    </w:p>
    <w:p w14:paraId="4E86D602" w14:textId="77777777" w:rsidR="00D86D8C" w:rsidRDefault="00D86D8C" w:rsidP="00D86D8C">
      <w:pPr>
        <w:pStyle w:val="a3"/>
        <w:spacing w:before="73" w:line="198" w:lineRule="exact"/>
        <w:ind w:left="100" w:right="5987"/>
        <w:rPr>
          <w:rFonts w:ascii="Arial"/>
        </w:rPr>
      </w:pPr>
      <w:r>
        <w:rPr>
          <w:rFonts w:ascii="Arial"/>
        </w:rPr>
        <w:t>Dr Jiayi, Wu PhD, The International Peace Maternity and Child Health Hospital, School of Medicine, Shanghai Jiao Tong University, Shanghai, China</w:t>
      </w:r>
    </w:p>
    <w:p w14:paraId="25CCDFEC" w14:textId="77777777" w:rsidR="00D86D8C" w:rsidRDefault="00D86D8C" w:rsidP="00D86D8C">
      <w:pPr>
        <w:pStyle w:val="a3"/>
        <w:spacing w:before="73" w:line="198" w:lineRule="exact"/>
        <w:ind w:left="100" w:right="5987"/>
        <w:rPr>
          <w:rFonts w:ascii="Arial"/>
        </w:rPr>
      </w:pPr>
      <w:r>
        <w:rPr>
          <w:rFonts w:ascii="Arial"/>
        </w:rPr>
        <w:t xml:space="preserve">Dr </w:t>
      </w:r>
      <w:proofErr w:type="spellStart"/>
      <w:r>
        <w:rPr>
          <w:rFonts w:ascii="Arial"/>
        </w:rPr>
        <w:t>Jianing</w:t>
      </w:r>
      <w:proofErr w:type="spellEnd"/>
      <w:r>
        <w:rPr>
          <w:rFonts w:ascii="Arial"/>
        </w:rPr>
        <w:t>, Hu PhD, The International Peace Maternity and Child Health Hospital, School of Medicine, Shanghai Jiao Tong University, Shanghai, China</w:t>
      </w:r>
    </w:p>
    <w:p w14:paraId="3FB7285E" w14:textId="77777777" w:rsidR="00D86D8C" w:rsidRDefault="00D86D8C" w:rsidP="00D86D8C">
      <w:pPr>
        <w:widowControl/>
        <w:rPr>
          <w:rFonts w:ascii="Arial"/>
          <w:sz w:val="21"/>
        </w:rPr>
        <w:sectPr w:rsidR="00D86D8C" w:rsidSect="00D86D8C">
          <w:type w:val="continuous"/>
          <w:pgSz w:w="11910" w:h="16840"/>
          <w:pgMar w:top="1740" w:right="600" w:bottom="840" w:left="620" w:header="541" w:footer="642" w:gutter="0"/>
          <w:cols w:space="720"/>
        </w:sectPr>
      </w:pPr>
    </w:p>
    <w:p w14:paraId="70946A7F" w14:textId="53E7C6C1" w:rsidR="00D86D8C" w:rsidRDefault="00D86D8C" w:rsidP="00D86D8C">
      <w:pPr>
        <w:pStyle w:val="3"/>
        <w:spacing w:before="147"/>
        <w:jc w:val="both"/>
      </w:pPr>
      <w:r>
        <w:rPr>
          <w:noProof/>
        </w:rPr>
        <w:drawing>
          <wp:anchor distT="0" distB="0" distL="114300" distR="114300" simplePos="0" relativeHeight="251659264" behindDoc="0" locked="0" layoutInCell="1" allowOverlap="1" wp14:anchorId="1360C599" wp14:editId="59776197">
            <wp:simplePos x="0" y="0"/>
            <wp:positionH relativeFrom="column">
              <wp:posOffset>3398520</wp:posOffset>
            </wp:positionH>
            <wp:positionV relativeFrom="paragraph">
              <wp:posOffset>231775</wp:posOffset>
            </wp:positionV>
            <wp:extent cx="3165475" cy="1950720"/>
            <wp:effectExtent l="0" t="0" r="0" b="0"/>
            <wp:wrapSquare wrapText="bothSides"/>
            <wp:docPr id="167510108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65475" cy="1950720"/>
                    </a:xfrm>
                    <a:prstGeom prst="rect">
                      <a:avLst/>
                    </a:prstGeom>
                    <a:noFill/>
                  </pic:spPr>
                </pic:pic>
              </a:graphicData>
            </a:graphic>
            <wp14:sizeRelH relativeFrom="page">
              <wp14:pctWidth>0</wp14:pctWidth>
            </wp14:sizeRelH>
            <wp14:sizeRelV relativeFrom="page">
              <wp14:pctHeight>0</wp14:pctHeight>
            </wp14:sizeRelV>
          </wp:anchor>
        </w:drawing>
      </w:r>
      <w:r>
        <w:rPr>
          <w:color w:val="BF5A14"/>
        </w:rPr>
        <w:t>Abstract (300 word limit)</w:t>
      </w:r>
    </w:p>
    <w:p w14:paraId="08C68DDD" w14:textId="77777777" w:rsidR="00D86D8C" w:rsidRDefault="00D86D8C" w:rsidP="00D86D8C">
      <w:pPr>
        <w:pStyle w:val="a3"/>
        <w:spacing w:before="90" w:line="278" w:lineRule="auto"/>
        <w:ind w:left="100"/>
        <w:jc w:val="both"/>
      </w:pPr>
      <w:r>
        <w:t>Statement of the Problem: Abnormal function of trophoblasts, the cells forming the outer layer of a blastocyst, has been associated with numerous pregnancy complications such as recurrent spontaneous abortion (RSA), pre-eclampsia, and preterm birth. These conditions not only pose severe risks to fetal health but also significantly compromise maternal health. Understanding the molecular mechanisms regulating trophoblast function has therefore been a long-standing area of interest in reproductive biology. However, the intricate details of these regulatory mechanisms have remained largely unexplored, thus limiting our ability to develop targeted therapeutic strategies.</w:t>
      </w:r>
      <w:r>
        <w:rPr>
          <w:rFonts w:eastAsiaTheme="minorEastAsia"/>
          <w:lang w:eastAsia="zh-CN"/>
        </w:rPr>
        <w:t xml:space="preserve"> </w:t>
      </w:r>
      <w:r>
        <w:t>Methodology &amp; Theoretical Orientation:</w:t>
      </w:r>
      <w:r>
        <w:rPr>
          <w:rFonts w:eastAsiaTheme="minorEastAsia"/>
          <w:lang w:eastAsia="zh-CN"/>
        </w:rPr>
        <w:t xml:space="preserve"> </w:t>
      </w:r>
      <w:r>
        <w:t xml:space="preserve">We investigated the role of Dedicator of Cytokinesis 1 (DOCK1), a gene involved in cell migration, in regulating the function of </w:t>
      </w:r>
      <w:proofErr w:type="spellStart"/>
      <w:r>
        <w:t>extravillous</w:t>
      </w:r>
      <w:proofErr w:type="spellEnd"/>
      <w:r>
        <w:t xml:space="preserve"> trophoblasts (EVTs), a subpopulation of trophoblasts. In a significant revelation, we found that DOCK1 expression is decreased in the placental villi of patients who have experienced RSA. Moreover, the degree of DOCK1 expression was observed to directly influence the invasive properties of EVTs, thereby elucidating an unrecognized role for DOCK1 in regulating EVT function.</w:t>
      </w:r>
      <w:r>
        <w:rPr>
          <w:rFonts w:eastAsiaTheme="minorEastAsia"/>
          <w:lang w:eastAsia="zh-CN"/>
        </w:rPr>
        <w:t xml:space="preserve"> </w:t>
      </w:r>
      <w:r>
        <w:t>Furthermore, we noted that a deficiency in DOCK1 resulted in the disturbed the activation of the extracellular signal-regulated kinase (ERK) signaling pathway. Consequently, this inactivation led to inadequate migration and invasion of EVTs, which are critical processes in successful placentation and overall pregnancy outcomes.</w:t>
      </w:r>
      <w:r>
        <w:rPr>
          <w:rFonts w:eastAsiaTheme="minorEastAsia"/>
          <w:lang w:eastAsia="zh-CN"/>
        </w:rPr>
        <w:t xml:space="preserve"> </w:t>
      </w:r>
      <w:r>
        <w:t>Conclusion &amp; Significance: Our study has unraveled the central role of DOCK1 in the regulation of EVT function via the ERK pathway. This discovery holds promising potential for developing novel therapeutic strategies to treat pregnancy disorders resulting from trophoblast dysfunction. We believe these findings will pave the way for significant advancements in reproductive medicine.</w:t>
      </w:r>
    </w:p>
    <w:p w14:paraId="443D1759" w14:textId="77777777" w:rsidR="00D86D8C" w:rsidRDefault="00D86D8C" w:rsidP="00D86D8C">
      <w:pPr>
        <w:pStyle w:val="a3"/>
        <w:spacing w:before="90" w:line="278" w:lineRule="auto"/>
        <w:ind w:left="100"/>
        <w:jc w:val="both"/>
      </w:pPr>
    </w:p>
    <w:p w14:paraId="76B596C8" w14:textId="77777777" w:rsidR="00D86D8C" w:rsidRDefault="00D86D8C" w:rsidP="00D86D8C">
      <w:pPr>
        <w:pStyle w:val="3"/>
        <w:spacing w:before="74"/>
      </w:pPr>
      <w:r>
        <w:rPr>
          <w:bCs w:val="0"/>
        </w:rPr>
        <w:br w:type="column"/>
      </w:r>
      <w:r>
        <w:rPr>
          <w:color w:val="BF5A14"/>
        </w:rPr>
        <w:t>Image</w:t>
      </w:r>
    </w:p>
    <w:p w14:paraId="2F66749D" w14:textId="77777777" w:rsidR="00D86D8C" w:rsidRDefault="00D86D8C" w:rsidP="00D86D8C">
      <w:pPr>
        <w:pStyle w:val="a3"/>
        <w:spacing w:before="2"/>
        <w:rPr>
          <w:rFonts w:ascii="Arial"/>
          <w:bCs/>
          <w:sz w:val="16"/>
        </w:rPr>
      </w:pPr>
      <w:r>
        <w:rPr>
          <w:rFonts w:ascii="Arial"/>
          <w:bCs/>
          <w:sz w:val="16"/>
        </w:rPr>
        <w:t>Figure 1: Reduced placenta villus DOCK1 expression in patients with RSA suggests a role in trophoblast function. DOCK1 modulates trophoblast cell migration and invasion by the ERK pathway.</w:t>
      </w:r>
    </w:p>
    <w:p w14:paraId="08946B8D" w14:textId="77777777" w:rsidR="00D86D8C" w:rsidRDefault="00D86D8C" w:rsidP="00D86D8C">
      <w:pPr>
        <w:spacing w:line="204" w:lineRule="exact"/>
        <w:rPr>
          <w:rFonts w:ascii="Arial"/>
          <w:b/>
          <w:sz w:val="20"/>
        </w:rPr>
      </w:pPr>
      <w:r>
        <w:rPr>
          <w:rFonts w:ascii="Arial"/>
          <w:b/>
          <w:color w:val="BF5A14"/>
          <w:sz w:val="20"/>
        </w:rPr>
        <w:br/>
        <w:t>Recent Publications (minimum 5)</w:t>
      </w:r>
    </w:p>
    <w:p w14:paraId="40EEC2C2" w14:textId="77777777" w:rsidR="00D86D8C" w:rsidRDefault="00D86D8C" w:rsidP="00D86D8C">
      <w:pPr>
        <w:pStyle w:val="a5"/>
        <w:numPr>
          <w:ilvl w:val="0"/>
          <w:numId w:val="4"/>
        </w:numPr>
        <w:tabs>
          <w:tab w:val="left" w:pos="384"/>
        </w:tabs>
        <w:spacing w:line="216" w:lineRule="exact"/>
        <w:ind w:right="138"/>
        <w:rPr>
          <w:sz w:val="18"/>
        </w:rPr>
      </w:pPr>
      <w:r>
        <w:rPr>
          <w:sz w:val="18"/>
        </w:rPr>
        <w:t>Xu Y, Song G, Xie S, Jiang W, Chen X, Chu M, Hu X, Wang ZW (2021) The roles of PD-1/PD-L1 in the prognosis and immunotherapy of prostate cancer.</w:t>
      </w:r>
      <w:r>
        <w:t xml:space="preserve"> </w:t>
      </w:r>
      <w:r>
        <w:rPr>
          <w:sz w:val="18"/>
        </w:rPr>
        <w:t>Mol Ther 29(6):1958-1969.</w:t>
      </w:r>
    </w:p>
    <w:p w14:paraId="22B271B5" w14:textId="77777777" w:rsidR="00D86D8C" w:rsidRDefault="00D86D8C" w:rsidP="00D86D8C">
      <w:pPr>
        <w:pStyle w:val="a3"/>
        <w:numPr>
          <w:ilvl w:val="0"/>
          <w:numId w:val="4"/>
        </w:numPr>
        <w:spacing w:before="85" w:line="216" w:lineRule="exact"/>
        <w:ind w:right="138"/>
        <w:jc w:val="both"/>
        <w:rPr>
          <w:rFonts w:ascii="Calibri" w:hAnsi="Calibri"/>
        </w:rPr>
      </w:pPr>
      <w:r>
        <w:rPr>
          <w:rFonts w:ascii="Calibri" w:hAnsi="Calibri"/>
        </w:rPr>
        <w:t>Song Y, Xu Y, Pan C, Yan L, Wang ZW, Zhu X (2020)</w:t>
      </w:r>
      <w:r>
        <w:t xml:space="preserve"> </w:t>
      </w:r>
      <w:r>
        <w:rPr>
          <w:rFonts w:ascii="Calibri" w:hAnsi="Calibri"/>
        </w:rPr>
        <w:t>The emerging role of SPOP protein in tumorigenesis and cancer therapy.</w:t>
      </w:r>
      <w:r>
        <w:t xml:space="preserve"> </w:t>
      </w:r>
      <w:r>
        <w:rPr>
          <w:rFonts w:ascii="Calibri" w:hAnsi="Calibri"/>
        </w:rPr>
        <w:t>19(1):2.</w:t>
      </w:r>
    </w:p>
    <w:p w14:paraId="32C0EF71" w14:textId="77777777" w:rsidR="00D86D8C" w:rsidRDefault="00D86D8C" w:rsidP="00D86D8C">
      <w:pPr>
        <w:pStyle w:val="a5"/>
        <w:numPr>
          <w:ilvl w:val="0"/>
          <w:numId w:val="4"/>
        </w:numPr>
        <w:tabs>
          <w:tab w:val="left" w:pos="384"/>
        </w:tabs>
        <w:spacing w:line="216" w:lineRule="exact"/>
        <w:ind w:right="138"/>
        <w:rPr>
          <w:sz w:val="18"/>
        </w:rPr>
      </w:pPr>
      <w:r>
        <w:rPr>
          <w:sz w:val="18"/>
        </w:rPr>
        <w:t xml:space="preserve">Hu J, Zhu Y, Zhang J, Xu Y, Wu J, Zeng W, Lin Y, Liu X (2022) The potential toxicity of polystyrene </w:t>
      </w:r>
      <w:proofErr w:type="spellStart"/>
      <w:r>
        <w:rPr>
          <w:sz w:val="18"/>
        </w:rPr>
        <w:t>nanoplastics</w:t>
      </w:r>
      <w:proofErr w:type="spellEnd"/>
      <w:r>
        <w:rPr>
          <w:sz w:val="18"/>
        </w:rPr>
        <w:t xml:space="preserve"> to human trophoblasts in vitro.</w:t>
      </w:r>
      <w:r>
        <w:t xml:space="preserve"> </w:t>
      </w:r>
      <w:r>
        <w:rPr>
          <w:sz w:val="18"/>
        </w:rPr>
        <w:t xml:space="preserve">Environ </w:t>
      </w:r>
      <w:proofErr w:type="spellStart"/>
      <w:r>
        <w:rPr>
          <w:sz w:val="18"/>
        </w:rPr>
        <w:t>Pollut</w:t>
      </w:r>
      <w:proofErr w:type="spellEnd"/>
      <w:r>
        <w:rPr>
          <w:sz w:val="18"/>
        </w:rPr>
        <w:t xml:space="preserve"> 311:119924.</w:t>
      </w:r>
    </w:p>
    <w:p w14:paraId="2EAE8EDB" w14:textId="77777777" w:rsidR="00D86D8C" w:rsidRDefault="00D86D8C" w:rsidP="00D86D8C">
      <w:pPr>
        <w:pStyle w:val="a5"/>
        <w:numPr>
          <w:ilvl w:val="0"/>
          <w:numId w:val="4"/>
        </w:numPr>
        <w:tabs>
          <w:tab w:val="left" w:pos="384"/>
        </w:tabs>
        <w:spacing w:line="216" w:lineRule="exact"/>
        <w:ind w:right="138"/>
        <w:rPr>
          <w:sz w:val="18"/>
        </w:rPr>
      </w:pPr>
      <w:r>
        <w:rPr>
          <w:sz w:val="18"/>
        </w:rPr>
        <w:t>Zhu Y, Wu F, Hu J, Xu Y, Zhang J, Li Y, Lin Y, Liu X (2023) LDHA deficiency inhibits trophoblast proliferation via the PI3K/AKT/FOXO1/CyclinD1 signaling pathway in unexplained recurrent spontaneous abortion.</w:t>
      </w:r>
      <w:r>
        <w:t xml:space="preserve"> </w:t>
      </w:r>
      <w:r>
        <w:rPr>
          <w:sz w:val="18"/>
        </w:rPr>
        <w:t>FASEB J 37(2): e22744.</w:t>
      </w:r>
    </w:p>
    <w:p w14:paraId="79AB2200" w14:textId="77777777" w:rsidR="00D86D8C" w:rsidRDefault="00D86D8C" w:rsidP="00D86D8C">
      <w:pPr>
        <w:pStyle w:val="a5"/>
        <w:numPr>
          <w:ilvl w:val="0"/>
          <w:numId w:val="4"/>
        </w:numPr>
        <w:tabs>
          <w:tab w:val="left" w:pos="384"/>
        </w:tabs>
        <w:spacing w:line="216" w:lineRule="exact"/>
        <w:ind w:right="138"/>
        <w:rPr>
          <w:sz w:val="18"/>
        </w:rPr>
      </w:pPr>
      <w:r>
        <w:rPr>
          <w:sz w:val="18"/>
        </w:rPr>
        <w:t>Zhu Y, Wu F, Hu J, Xu Y, Zhang J, Li Y, Lin Y, Liu X. Zhu Y, Liu X, Xu Y, Lin Y (2023) Hyperglycemia disturbs trophoblast functions and subsequently leads to failure of uterine spiral artery remodeling.</w:t>
      </w:r>
      <w:r>
        <w:t xml:space="preserve"> </w:t>
      </w:r>
      <w:r>
        <w:rPr>
          <w:sz w:val="18"/>
        </w:rPr>
        <w:t>Front Endocrinol (Lausanne) 14:1060253.</w:t>
      </w:r>
    </w:p>
    <w:p w14:paraId="35444DEA" w14:textId="77777777" w:rsidR="00D86D8C" w:rsidRDefault="00D86D8C" w:rsidP="00D86D8C">
      <w:pPr>
        <w:spacing w:line="200" w:lineRule="exact"/>
        <w:jc w:val="both"/>
        <w:rPr>
          <w:rFonts w:ascii="Calibri" w:hAnsi="Calibri"/>
        </w:rPr>
      </w:pPr>
      <w:r>
        <w:rPr>
          <w:rFonts w:ascii="Calibri" w:hAnsi="Calibri"/>
        </w:rPr>
        <w:t xml:space="preserve">  </w:t>
      </w:r>
    </w:p>
    <w:p w14:paraId="186DE3D9" w14:textId="77777777" w:rsidR="00D86D8C" w:rsidRDefault="00D86D8C" w:rsidP="00D86D8C">
      <w:pPr>
        <w:widowControl/>
        <w:rPr>
          <w:rFonts w:ascii="Calibri" w:hAnsi="Calibri"/>
        </w:rPr>
        <w:sectPr w:rsidR="00D86D8C">
          <w:type w:val="continuous"/>
          <w:pgSz w:w="11910" w:h="16840"/>
          <w:pgMar w:top="1740" w:right="600" w:bottom="840" w:left="620" w:header="720" w:footer="720" w:gutter="0"/>
          <w:cols w:num="2" w:space="720" w:equalWidth="0">
            <w:col w:w="5214" w:space="138"/>
            <w:col w:w="5338"/>
          </w:cols>
        </w:sectPr>
      </w:pPr>
    </w:p>
    <w:p w14:paraId="4ACACD81" w14:textId="7C07E317" w:rsidR="00D86D8C" w:rsidRDefault="00D86D8C" w:rsidP="00D86D8C">
      <w:pPr>
        <w:pStyle w:val="a3"/>
        <w:rPr>
          <w:rFonts w:ascii="Calibri"/>
          <w:b/>
          <w:sz w:val="20"/>
        </w:rPr>
      </w:pPr>
      <w:r>
        <w:rPr>
          <w:rFonts w:ascii="Calibri"/>
          <w:sz w:val="20"/>
        </w:rPr>
        <w:t xml:space="preserve">                 </w:t>
      </w:r>
      <w:r>
        <w:rPr>
          <w:rFonts w:ascii="Calibri"/>
          <w:b/>
          <w:sz w:val="20"/>
        </w:rPr>
        <w:t>Photograph</w:t>
      </w:r>
    </w:p>
    <w:p w14:paraId="613AA740" w14:textId="7793CC0C" w:rsidR="00D86D8C" w:rsidRDefault="00D86D8C" w:rsidP="00D86D8C">
      <w:pPr>
        <w:pStyle w:val="a3"/>
        <w:spacing w:line="40" w:lineRule="exact"/>
        <w:ind w:left="2202"/>
        <w:rPr>
          <w:rFonts w:ascii="Calibri"/>
          <w:sz w:val="4"/>
        </w:rPr>
      </w:pPr>
      <w:r>
        <w:rPr>
          <w:noProof/>
        </w:rPr>
        <w:drawing>
          <wp:anchor distT="0" distB="0" distL="114300" distR="114300" simplePos="0" relativeHeight="251658240" behindDoc="0" locked="0" layoutInCell="1" allowOverlap="1" wp14:anchorId="028937E8" wp14:editId="7C5CBCC4">
            <wp:simplePos x="0" y="0"/>
            <wp:positionH relativeFrom="column">
              <wp:posOffset>578485</wp:posOffset>
            </wp:positionH>
            <wp:positionV relativeFrom="paragraph">
              <wp:posOffset>2540</wp:posOffset>
            </wp:positionV>
            <wp:extent cx="501015" cy="575945"/>
            <wp:effectExtent l="0" t="0" r="0" b="0"/>
            <wp:wrapSquare wrapText="bothSides"/>
            <wp:docPr id="92228173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1015" cy="57594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g">
            <w:drawing>
              <wp:inline distT="0" distB="0" distL="0" distR="0" wp14:anchorId="65327108" wp14:editId="14BFA336">
                <wp:extent cx="3975735" cy="25400"/>
                <wp:effectExtent l="0" t="0" r="5715" b="3175"/>
                <wp:docPr id="87305889" name="组合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865629626"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D48AA1" id="组合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DMBIwIAAKMEAAAOAAAAZHJzL2Uyb0RvYy54bWyklM1u4yAQx+8r7Tsg7o0dN3FTK04PaZtL&#10;djdS2wcgGNuoGBCQOHn7HTD5aHtYqXuxGIYZ/vObwfOHQyfQnhnLlSzxeJRixCRVFZdNid9en29m&#10;GFlHZEWEkqzER2bxw+Lnj3mvC5apVomKGQRJpC16XeLWOV0kiaUt64gdKc0kOGtlOuLANE1SGdJD&#10;9k4kWZrmSa9MpY2izFrYfRyceBHy1zWj7k9dW+aQKDFoc+Frwnfrv8liTorGEN1yGmWQb6joCJdw&#10;6TnVI3EE7Qz/kqrj1CirajeiqktUXXPKQg1QzTj9VM3KqJ0OtTRF3+gzJkD7idO309Lf+5XRL3pj&#10;BvWwXCv6boFL0uumuPZ7uxkOo23/S1XQT7JzKhR+qE3nU0BJ6BD4Hs982cEhCpu393fTu9spRhR8&#10;2XSSRv60hSZ9iaLtU4zLs3w8BE1CREKK4bogMUryLYcZshdM9v8wvbREs0Dfegwbg3gFIz7Lp3l2&#10;D5IwkqQDBGsuGZr6SfIC4ORSDjTpQUaaSKplS2TDQs7Xo4awsY+AAq5CvGGhFf+km8Eoe4SR34lv&#10;nmWR00dMpNDGuhVTHfKLEguQHLpG9mvrvI7LEd9EqZ65ELBPCiFRf2qWt60SvPLeYJhmuxQG7Yl/&#10;XukknZ0u/nAMxlhWIVvLSPUU145wMazhdiEjDF//QHKrquPGnCBBY+NIwksIguOr9U/t2g6nLv+W&#10;xV8AAAD//wMAUEsDBBQABgAIAAAAIQDSSW852wAAAAMBAAAPAAAAZHJzL2Rvd25yZXYueG1sTI9B&#10;a8JAEIXvhf6HZQq91U1sG0rMRkS0JylUheJtzI5JMDsbsmsS/323vehl4PEe732TzUfTiJ46V1tW&#10;EE8iEMSF1TWXCva79csHCOeRNTaWScGVHMzzx4cMU20H/qZ+60sRStilqKDyvk2ldEVFBt3EtsTB&#10;O9nOoA+yK6XucAjlppHTKEqkwZrDQoUtLSsqztuLUfA54LB4jVf95nxaXg+796+fTUxKPT+NixkI&#10;T6O/heEPP6BDHpiO9sLaiUZBeMT/3+Al0yQGcVTwFoHMM3nPnv8CAAD//wMAUEsBAi0AFAAGAAgA&#10;AAAhALaDOJL+AAAA4QEAABMAAAAAAAAAAAAAAAAAAAAAAFtDb250ZW50X1R5cGVzXS54bWxQSwEC&#10;LQAUAAYACAAAACEAOP0h/9YAAACUAQAACwAAAAAAAAAAAAAAAAAvAQAAX3JlbHMvLnJlbHNQSwEC&#10;LQAUAAYACAAAACEAfNAzASMCAACjBAAADgAAAAAAAAAAAAAAAAAuAgAAZHJzL2Uyb0RvYy54bWxQ&#10;SwECLQAUAAYACAAAACEA0klvOdsAAAADAQAADwAAAAAAAAAAAAAAAAB9BAAAZHJzL2Rvd25yZXYu&#10;eG1sUEsFBgAAAAAEAAQA8wAAAIU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yu9xwAAAOMAAAAPAAAAZHJzL2Rvd25yZXYueG1sRE9LSwMx&#10;EL4L/Q9hBG82cdFQt01LVUSlp1Z76G3YTDdL81iTuF3/vREEj/O9Z7EanWUDxdQFr+BmKoCRb4Lu&#10;fKvg4/35egYsZfQabfCk4JsSrJaTiwXWOpz9loZdblkJ8alGBSbnvuY8NYYcpmnoyRfuGKLDXM7Y&#10;ch3xXMKd5ZUQkjvsfGkw2NOjoea0+3IKxPZTGvFk307DQx4OL3Zzu++iUleX43oOLNOY/8V/7ldd&#10;5s/knazuZSXh96cCAF/+AAAA//8DAFBLAQItABQABgAIAAAAIQDb4fbL7gAAAIUBAAATAAAAAAAA&#10;AAAAAAAAAAAAAABbQ29udGVudF9UeXBlc10ueG1sUEsBAi0AFAAGAAgAAAAhAFr0LFu/AAAAFQEA&#10;AAsAAAAAAAAAAAAAAAAAHwEAAF9yZWxzLy5yZWxzUEsBAi0AFAAGAAgAAAAhACobK73HAAAA4wAA&#10;AA8AAAAAAAAAAAAAAAAABwIAAGRycy9kb3ducmV2LnhtbFBLBQYAAAAAAwADALcAAAD7AgAAAAA=&#10;" strokecolor="#004080" strokeweight="2pt"/>
                <w10:anchorlock/>
              </v:group>
            </w:pict>
          </mc:Fallback>
        </mc:AlternateContent>
      </w:r>
    </w:p>
    <w:p w14:paraId="222F36D7" w14:textId="77777777" w:rsidR="00D86D8C" w:rsidRDefault="00D86D8C" w:rsidP="00D86D8C">
      <w:pPr>
        <w:spacing w:before="92"/>
        <w:ind w:right="4234"/>
        <w:rPr>
          <w:noProof/>
          <w:lang w:val="en-IN" w:eastAsia="en-IN"/>
        </w:rPr>
      </w:pPr>
      <w:r>
        <w:rPr>
          <w:noProof/>
        </w:rPr>
        <w:t xml:space="preserve">              </w:t>
      </w:r>
    </w:p>
    <w:p w14:paraId="0857A1DD" w14:textId="77777777" w:rsidR="00D86D8C" w:rsidRDefault="00D86D8C" w:rsidP="00D86D8C">
      <w:pPr>
        <w:spacing w:before="92"/>
        <w:ind w:right="4234"/>
        <w:rPr>
          <w:rFonts w:ascii="Arial"/>
        </w:rPr>
      </w:pPr>
      <w:r>
        <w:rPr>
          <w:rFonts w:ascii="Arial"/>
          <w:color w:val="BF5A14"/>
        </w:rPr>
        <w:t>Biography (150 word limit)</w:t>
      </w:r>
    </w:p>
    <w:p w14:paraId="24E940E7" w14:textId="1A29C22B" w:rsidR="00D86D8C" w:rsidRDefault="00D86D8C" w:rsidP="00D86D8C">
      <w:pPr>
        <w:spacing w:before="41" w:line="154" w:lineRule="exact"/>
        <w:ind w:left="213" w:right="231"/>
        <w:jc w:val="both"/>
        <w:rPr>
          <w:rFonts w:ascii="Arial"/>
          <w:sz w:val="14"/>
        </w:rPr>
      </w:pPr>
      <w:r>
        <w:rPr>
          <w:rFonts w:ascii="Arial"/>
          <w:sz w:val="14"/>
        </w:rPr>
        <w:t xml:space="preserve">Dr has established her expertise in the field of reproductive and gynecological oncology, with a remarkable passion for advancing healthcare and human wellbeing. </w:t>
      </w:r>
      <w:r w:rsidR="0059709E" w:rsidRPr="0059709E">
        <w:rPr>
          <w:rFonts w:ascii="Arial"/>
          <w:sz w:val="14"/>
        </w:rPr>
        <w:t>Her deep expertise in this field is reflected not only in her clinical practice but also in her scholarly contributions to research. A respected authority in her field, Dr has been credited with numerous publications in prestigious SCI-indexed journals.</w:t>
      </w:r>
    </w:p>
    <w:p w14:paraId="236B9870" w14:textId="12729703" w:rsidR="00D86D8C" w:rsidRDefault="00D86D8C" w:rsidP="00D86D8C">
      <w:pPr>
        <w:spacing w:before="62"/>
        <w:ind w:left="4217" w:right="4235"/>
        <w:jc w:val="center"/>
      </w:pPr>
      <w:r>
        <w:rPr>
          <w:rFonts w:ascii="Arial"/>
          <w:sz w:val="14"/>
        </w:rPr>
        <w:t>Email:</w:t>
      </w:r>
      <w:r w:rsidR="00AD3173">
        <w:rPr>
          <w:rFonts w:ascii="Arial"/>
          <w:sz w:val="14"/>
        </w:rPr>
        <w:t xml:space="preserve"> </w:t>
      </w:r>
      <w:hyperlink r:id="rId9" w:history="1">
        <w:r w:rsidR="00B96667" w:rsidRPr="00481BF9">
          <w:rPr>
            <w:rStyle w:val="ac"/>
            <w:sz w:val="18"/>
            <w:szCs w:val="18"/>
          </w:rPr>
          <w:t>xuyichixuyichi@163.com</w:t>
        </w:r>
      </w:hyperlink>
      <w:r>
        <w:rPr>
          <w:noProof/>
        </w:rPr>
        <mc:AlternateContent>
          <mc:Choice Requires="wps">
            <w:drawing>
              <wp:anchor distT="0" distB="0" distL="0" distR="0" simplePos="0" relativeHeight="251660288" behindDoc="0" locked="0" layoutInCell="1" allowOverlap="1" wp14:anchorId="5B273120" wp14:editId="37264728">
                <wp:simplePos x="0" y="0"/>
                <wp:positionH relativeFrom="page">
                  <wp:posOffset>2058670</wp:posOffset>
                </wp:positionH>
                <wp:positionV relativeFrom="paragraph">
                  <wp:posOffset>168275</wp:posOffset>
                </wp:positionV>
                <wp:extent cx="3442335" cy="0"/>
                <wp:effectExtent l="0" t="0" r="0" b="0"/>
                <wp:wrapTopAndBottom/>
                <wp:docPr id="121540098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4CCDE2" id="直接连接符 1" o:spid="_x0000_s1026" style="position:absolute;left:0;text-align:lef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71C3D534" w14:textId="77777777" w:rsidR="00D86D8C" w:rsidRDefault="00D86D8C" w:rsidP="00D86D8C">
      <w:pPr>
        <w:spacing w:before="39"/>
        <w:ind w:left="100"/>
        <w:rPr>
          <w:rFonts w:ascii="Minion Pro"/>
          <w:b/>
          <w:sz w:val="20"/>
        </w:rPr>
      </w:pPr>
      <w:r>
        <w:rPr>
          <w:rFonts w:ascii="Minion Pro"/>
          <w:b/>
          <w:sz w:val="20"/>
        </w:rPr>
        <w:t>Notes/Comments</w:t>
      </w:r>
    </w:p>
    <w:p w14:paraId="00D727E7" w14:textId="77777777" w:rsidR="00D86D8C" w:rsidRDefault="00D86D8C" w:rsidP="00D86D8C">
      <w:pPr>
        <w:widowControl/>
        <w:rPr>
          <w:rFonts w:ascii="Minion Pro"/>
          <w:b/>
          <w:sz w:val="20"/>
        </w:rPr>
        <w:sectPr w:rsidR="00D86D8C">
          <w:type w:val="continuous"/>
          <w:pgSz w:w="11910" w:h="16840"/>
          <w:pgMar w:top="1740" w:right="600" w:bottom="840" w:left="620" w:header="720" w:footer="720" w:gutter="0"/>
          <w:cols w:space="720"/>
        </w:sectPr>
      </w:pPr>
    </w:p>
    <w:p w14:paraId="74FA8333" w14:textId="77777777" w:rsidR="00AE3E37" w:rsidRPr="00D86D8C" w:rsidRDefault="00AE3E37" w:rsidP="00D86D8C"/>
    <w:sectPr w:rsidR="00AE3E37" w:rsidRPr="00D86D8C" w:rsidSect="00CD6F55">
      <w:headerReference w:type="default" r:id="rId10"/>
      <w:footerReference w:type="default" r:id="rId11"/>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C12A9" w14:textId="77777777" w:rsidR="00070FF7" w:rsidRDefault="00070FF7">
      <w:r>
        <w:separator/>
      </w:r>
    </w:p>
  </w:endnote>
  <w:endnote w:type="continuationSeparator" w:id="0">
    <w:p w14:paraId="7288BA43" w14:textId="77777777" w:rsidR="00070FF7" w:rsidRDefault="00070F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72528" w14:textId="77777777"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3910C47" wp14:editId="0E90B69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85578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07AACD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910C47"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2285578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07AACD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0B8AA0C" wp14:editId="2760723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8D8F5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FC20DE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B8AA0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768D8F5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FC20DE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A0B6CDF" wp14:editId="635C714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0291D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2A2D6B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6CDF"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190291D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2A2D6B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72DD3C" w14:textId="77777777" w:rsidR="00070FF7" w:rsidRDefault="00070FF7">
      <w:r>
        <w:separator/>
      </w:r>
    </w:p>
  </w:footnote>
  <w:footnote w:type="continuationSeparator" w:id="0">
    <w:p w14:paraId="7B3A4BB0" w14:textId="77777777" w:rsidR="00070FF7" w:rsidRDefault="00070F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8BEE2" w14:textId="77777777"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16130A7C" wp14:editId="738606B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7217C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130A7C"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6C7217C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7BBB7B9" wp14:editId="7784251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52E5C2"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C4519D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BBB7B9"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4952E5C2"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C4519D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B1D94"/>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numFmt w:val="decimal"/>
      <w:lvlText w:val="•"/>
      <w:lvlJc w:val="left"/>
      <w:pPr>
        <w:ind w:left="877" w:hanging="284"/>
      </w:pPr>
    </w:lvl>
    <w:lvl w:ilvl="2" w:tplc="9E4C3810">
      <w:numFmt w:val="decimal"/>
      <w:lvlText w:val="•"/>
      <w:lvlJc w:val="left"/>
      <w:pPr>
        <w:ind w:left="1374" w:hanging="284"/>
      </w:pPr>
    </w:lvl>
    <w:lvl w:ilvl="3" w:tplc="27FEBB2C">
      <w:numFmt w:val="decimal"/>
      <w:lvlText w:val="•"/>
      <w:lvlJc w:val="left"/>
      <w:pPr>
        <w:ind w:left="1871" w:hanging="284"/>
      </w:pPr>
    </w:lvl>
    <w:lvl w:ilvl="4" w:tplc="40E042A8">
      <w:numFmt w:val="decimal"/>
      <w:lvlText w:val="•"/>
      <w:lvlJc w:val="left"/>
      <w:pPr>
        <w:ind w:left="2369" w:hanging="284"/>
      </w:pPr>
    </w:lvl>
    <w:lvl w:ilvl="5" w:tplc="80EC61F2">
      <w:numFmt w:val="decimal"/>
      <w:lvlText w:val="•"/>
      <w:lvlJc w:val="left"/>
      <w:pPr>
        <w:ind w:left="2866" w:hanging="284"/>
      </w:pPr>
    </w:lvl>
    <w:lvl w:ilvl="6" w:tplc="F60232E2">
      <w:numFmt w:val="decimal"/>
      <w:lvlText w:val="•"/>
      <w:lvlJc w:val="left"/>
      <w:pPr>
        <w:ind w:left="3363" w:hanging="284"/>
      </w:pPr>
    </w:lvl>
    <w:lvl w:ilvl="7" w:tplc="69AE9EC2">
      <w:numFmt w:val="decimal"/>
      <w:lvlText w:val="•"/>
      <w:lvlJc w:val="left"/>
      <w:pPr>
        <w:ind w:left="3860" w:hanging="284"/>
      </w:pPr>
    </w:lvl>
    <w:lvl w:ilvl="8" w:tplc="16D69236">
      <w:numFmt w:val="decimal"/>
      <w:lvlText w:val="•"/>
      <w:lvlJc w:val="left"/>
      <w:pPr>
        <w:ind w:left="4358" w:hanging="284"/>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968464439">
    <w:abstractNumId w:val="1"/>
  </w:num>
  <w:num w:numId="2" w16cid:durableId="1336150255">
    <w:abstractNumId w:val="2"/>
  </w:num>
  <w:num w:numId="3" w16cid:durableId="1000431507">
    <w:abstractNumId w:val="1"/>
    <w:lvlOverride w:ilvl="0">
      <w:startOverride w:val="1"/>
    </w:lvlOverride>
    <w:lvlOverride w:ilvl="1"/>
    <w:lvlOverride w:ilvl="2"/>
    <w:lvlOverride w:ilvl="3"/>
    <w:lvlOverride w:ilvl="4"/>
    <w:lvlOverride w:ilvl="5"/>
    <w:lvlOverride w:ilvl="6"/>
    <w:lvlOverride w:ilvl="7"/>
    <w:lvlOverride w:ilvl="8"/>
  </w:num>
  <w:num w:numId="4" w16cid:durableId="541592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70FF7"/>
    <w:rsid w:val="000E2911"/>
    <w:rsid w:val="001263DF"/>
    <w:rsid w:val="00172020"/>
    <w:rsid w:val="001E763C"/>
    <w:rsid w:val="00292ED9"/>
    <w:rsid w:val="00314AFB"/>
    <w:rsid w:val="003B76D9"/>
    <w:rsid w:val="00404E5B"/>
    <w:rsid w:val="00414F7B"/>
    <w:rsid w:val="004355DC"/>
    <w:rsid w:val="004749B4"/>
    <w:rsid w:val="00494130"/>
    <w:rsid w:val="004F3523"/>
    <w:rsid w:val="00525233"/>
    <w:rsid w:val="0059709E"/>
    <w:rsid w:val="005973B9"/>
    <w:rsid w:val="005B3A56"/>
    <w:rsid w:val="006060CE"/>
    <w:rsid w:val="0063497F"/>
    <w:rsid w:val="0078738A"/>
    <w:rsid w:val="00873DF0"/>
    <w:rsid w:val="008756E6"/>
    <w:rsid w:val="009B2D44"/>
    <w:rsid w:val="009E6C39"/>
    <w:rsid w:val="00A07E82"/>
    <w:rsid w:val="00A9710C"/>
    <w:rsid w:val="00AD3173"/>
    <w:rsid w:val="00AE3E37"/>
    <w:rsid w:val="00B21A57"/>
    <w:rsid w:val="00B96667"/>
    <w:rsid w:val="00C13A00"/>
    <w:rsid w:val="00C33602"/>
    <w:rsid w:val="00CD6F55"/>
    <w:rsid w:val="00D364E3"/>
    <w:rsid w:val="00D62425"/>
    <w:rsid w:val="00D86D8C"/>
    <w:rsid w:val="00DE3104"/>
    <w:rsid w:val="00DE41F6"/>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79EC1A"/>
  <w15:docId w15:val="{68B01798-2088-48A5-93A3-48994F933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link w:val="10"/>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link w:val="30"/>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 w:type="character" w:customStyle="1" w:styleId="10">
    <w:name w:val="标题 1 字符"/>
    <w:basedOn w:val="a0"/>
    <w:link w:val="1"/>
    <w:uiPriority w:val="1"/>
    <w:rsid w:val="00D86D8C"/>
    <w:rPr>
      <w:rFonts w:ascii="Minion Pro" w:eastAsia="Minion Pro" w:hAnsi="Minion Pro" w:cs="Minion Pro"/>
      <w:b/>
      <w:bCs/>
      <w:sz w:val="36"/>
      <w:szCs w:val="36"/>
    </w:rPr>
  </w:style>
  <w:style w:type="character" w:customStyle="1" w:styleId="30">
    <w:name w:val="标题 3 字符"/>
    <w:basedOn w:val="a0"/>
    <w:link w:val="3"/>
    <w:uiPriority w:val="1"/>
    <w:rsid w:val="00D86D8C"/>
    <w:rPr>
      <w:rFonts w:ascii="Arial" w:eastAsia="Arial" w:hAnsi="Arial" w:cs="Arial"/>
      <w:b/>
      <w:bCs/>
      <w:sz w:val="20"/>
      <w:szCs w:val="20"/>
    </w:rPr>
  </w:style>
  <w:style w:type="character" w:styleId="ad">
    <w:name w:val="Unresolved Mention"/>
    <w:basedOn w:val="a0"/>
    <w:uiPriority w:val="99"/>
    <w:semiHidden/>
    <w:unhideWhenUsed/>
    <w:rsid w:val="00AD31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1149025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xuyichixuyichi@163.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634</Words>
  <Characters>3617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徐 轶迟</cp:lastModifiedBy>
  <cp:revision>11</cp:revision>
  <dcterms:created xsi:type="dcterms:W3CDTF">2016-08-31T13:10:00Z</dcterms:created>
  <dcterms:modified xsi:type="dcterms:W3CDTF">2023-07-07T08:50:00Z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