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9FC4B" w14:textId="3DC8B62A" w:rsidR="001E7EE6" w:rsidRPr="001E7EE6" w:rsidRDefault="001E7EE6" w:rsidP="001E7EE6">
      <w:pPr>
        <w:spacing w:before="100" w:beforeAutospacing="1" w:after="100" w:afterAutospacing="1"/>
        <w:rPr>
          <w:rFonts w:ascii="Times New Roman" w:eastAsia="Times New Roman" w:hAnsi="Times New Roman" w:cs="Times New Roman"/>
          <w:b/>
          <w:bCs/>
          <w:lang w:eastAsia="pt-PT"/>
        </w:rPr>
      </w:pPr>
      <w:r w:rsidRPr="00BB00ED">
        <w:rPr>
          <w:rFonts w:ascii="Times" w:eastAsia="Times New Roman" w:hAnsi="Times" w:cs="Times New Roman"/>
          <w:b/>
          <w:bCs/>
          <w:color w:val="0F0F0F"/>
          <w:sz w:val="22"/>
          <w:szCs w:val="22"/>
          <w:lang w:eastAsia="pt-PT"/>
        </w:rPr>
        <w:t>P</w:t>
      </w:r>
      <w:r w:rsidRPr="001E7EE6">
        <w:rPr>
          <w:rFonts w:ascii="Times" w:eastAsia="Times New Roman" w:hAnsi="Times" w:cs="Times New Roman"/>
          <w:b/>
          <w:bCs/>
          <w:color w:val="0F0F0F"/>
          <w:sz w:val="22"/>
          <w:szCs w:val="22"/>
          <w:lang w:eastAsia="pt-PT"/>
        </w:rPr>
        <w:t>renatal diagnosis</w:t>
      </w:r>
      <w:r w:rsidRPr="00BB00ED">
        <w:rPr>
          <w:rFonts w:ascii="Times" w:eastAsia="Times New Roman" w:hAnsi="Times" w:cs="Times New Roman"/>
          <w:b/>
          <w:bCs/>
          <w:color w:val="0F0F0F"/>
          <w:sz w:val="22"/>
          <w:szCs w:val="22"/>
          <w:lang w:eastAsia="pt-PT"/>
        </w:rPr>
        <w:t xml:space="preserve"> study using </w:t>
      </w:r>
      <w:r w:rsidRPr="001E7EE6">
        <w:rPr>
          <w:rFonts w:ascii="Times" w:eastAsia="Times New Roman" w:hAnsi="Times" w:cs="Times New Roman"/>
          <w:b/>
          <w:bCs/>
          <w:color w:val="0F0F0F"/>
          <w:sz w:val="22"/>
          <w:szCs w:val="22"/>
          <w:lang w:eastAsia="pt-PT"/>
        </w:rPr>
        <w:t xml:space="preserve">array comparative genomic hybridization </w:t>
      </w:r>
      <w:r w:rsidRPr="00BB00ED">
        <w:rPr>
          <w:rFonts w:ascii="Times" w:eastAsia="Times New Roman" w:hAnsi="Times" w:cs="Times New Roman"/>
          <w:b/>
          <w:bCs/>
          <w:color w:val="0F0F0F"/>
          <w:sz w:val="22"/>
          <w:szCs w:val="22"/>
          <w:lang w:eastAsia="pt-PT"/>
        </w:rPr>
        <w:t xml:space="preserve">for </w:t>
      </w:r>
      <w:r w:rsidRPr="00BB00ED">
        <w:rPr>
          <w:rFonts w:ascii="Times" w:hAnsi="Times"/>
          <w:b/>
          <w:bCs/>
          <w:sz w:val="22"/>
          <w:szCs w:val="22"/>
          <w:lang w:val="en-US"/>
        </w:rPr>
        <w:t>genotype-phenotype</w:t>
      </w:r>
      <w:r w:rsidRPr="00BB00ED">
        <w:rPr>
          <w:rFonts w:ascii="Times" w:hAnsi="Times"/>
          <w:b/>
          <w:bCs/>
          <w:sz w:val="22"/>
          <w:szCs w:val="22"/>
        </w:rPr>
        <w:t xml:space="preserve"> correlation</w:t>
      </w:r>
      <w:r w:rsidRPr="00BB00ED">
        <w:rPr>
          <w:rFonts w:ascii="Times" w:eastAsia="Times New Roman" w:hAnsi="Times" w:cs="Times New Roman"/>
          <w:b/>
          <w:bCs/>
          <w:color w:val="0F0F0F"/>
          <w:sz w:val="22"/>
          <w:szCs w:val="22"/>
          <w:lang w:eastAsia="pt-PT"/>
        </w:rPr>
        <w:t xml:space="preserve"> in a cohort of</w:t>
      </w:r>
      <w:r w:rsidRPr="001E7EE6">
        <w:rPr>
          <w:rFonts w:ascii="Times" w:eastAsia="Times New Roman" w:hAnsi="Times" w:cs="Times New Roman"/>
          <w:b/>
          <w:bCs/>
          <w:color w:val="0F0F0F"/>
          <w:sz w:val="22"/>
          <w:szCs w:val="22"/>
          <w:lang w:eastAsia="pt-PT"/>
        </w:rPr>
        <w:t xml:space="preserve"> 772 fetuses</w:t>
      </w:r>
    </w:p>
    <w:p w14:paraId="008A0561" w14:textId="77777777" w:rsidR="001A60C3" w:rsidRDefault="001A60C3" w:rsidP="005470C6">
      <w:pPr>
        <w:spacing w:line="360" w:lineRule="auto"/>
        <w:jc w:val="both"/>
        <w:rPr>
          <w:rFonts w:ascii="Times" w:hAnsi="Times"/>
          <w:b/>
          <w:bCs/>
          <w:sz w:val="22"/>
          <w:szCs w:val="22"/>
        </w:rPr>
      </w:pPr>
    </w:p>
    <w:p w14:paraId="2FC98B35" w14:textId="6D809BA6" w:rsidR="00E43126" w:rsidRPr="005470C6" w:rsidRDefault="00C717D4" w:rsidP="005470C6">
      <w:pPr>
        <w:spacing w:line="360" w:lineRule="auto"/>
        <w:jc w:val="both"/>
        <w:rPr>
          <w:rFonts w:ascii="Times" w:hAnsi="Times"/>
          <w:b/>
          <w:bCs/>
          <w:sz w:val="22"/>
          <w:szCs w:val="22"/>
        </w:rPr>
      </w:pPr>
      <w:r>
        <w:rPr>
          <w:rFonts w:ascii="Times" w:hAnsi="Times"/>
          <w:b/>
          <w:bCs/>
          <w:sz w:val="22"/>
          <w:szCs w:val="22"/>
        </w:rPr>
        <w:t>Introduction</w:t>
      </w:r>
    </w:p>
    <w:p w14:paraId="0EE83154" w14:textId="2B51EA49" w:rsidR="00E43126" w:rsidRPr="005470C6" w:rsidRDefault="00E43126" w:rsidP="005470C6">
      <w:pPr>
        <w:spacing w:line="360" w:lineRule="auto"/>
        <w:jc w:val="both"/>
        <w:rPr>
          <w:rFonts w:ascii="Times" w:hAnsi="Times"/>
          <w:b/>
          <w:bCs/>
          <w:sz w:val="22"/>
          <w:szCs w:val="22"/>
        </w:rPr>
      </w:pPr>
      <w:r w:rsidRPr="005470C6">
        <w:rPr>
          <w:rFonts w:ascii="Times" w:hAnsi="Times"/>
          <w:color w:val="111111"/>
          <w:sz w:val="22"/>
          <w:szCs w:val="22"/>
          <w:lang w:val="en-US"/>
        </w:rPr>
        <w:t xml:space="preserve">Currently, microarray-based comparative genomic hybridization (aCGH) is at the forefront of prenatal genetic diagnosis. The indications for performing genetic studies are variable and it is important to correlate the clinical findings with the genetic alteration. </w:t>
      </w:r>
    </w:p>
    <w:p w14:paraId="2E2C1682" w14:textId="6C683910" w:rsidR="00E43126" w:rsidRPr="005470C6" w:rsidRDefault="00E43126" w:rsidP="005470C6">
      <w:pPr>
        <w:spacing w:line="360" w:lineRule="auto"/>
        <w:jc w:val="both"/>
        <w:rPr>
          <w:rFonts w:ascii="Times" w:hAnsi="Times"/>
          <w:sz w:val="22"/>
          <w:szCs w:val="22"/>
        </w:rPr>
      </w:pPr>
    </w:p>
    <w:p w14:paraId="756211B9" w14:textId="550C65EC" w:rsidR="00E43126" w:rsidRPr="005470C6" w:rsidRDefault="00C717D4" w:rsidP="005470C6">
      <w:pPr>
        <w:spacing w:line="360" w:lineRule="auto"/>
        <w:jc w:val="both"/>
        <w:rPr>
          <w:rFonts w:ascii="Times" w:hAnsi="Times"/>
          <w:b/>
          <w:bCs/>
          <w:sz w:val="22"/>
          <w:szCs w:val="22"/>
        </w:rPr>
      </w:pPr>
      <w:r>
        <w:rPr>
          <w:rFonts w:ascii="Times" w:hAnsi="Times"/>
          <w:b/>
          <w:bCs/>
          <w:sz w:val="22"/>
          <w:szCs w:val="22"/>
        </w:rPr>
        <w:t>Objectives</w:t>
      </w:r>
    </w:p>
    <w:p w14:paraId="03837361" w14:textId="75D9AB8E" w:rsidR="00E43126" w:rsidRPr="005470C6" w:rsidRDefault="00E43126" w:rsidP="005470C6">
      <w:pPr>
        <w:spacing w:line="360" w:lineRule="auto"/>
        <w:jc w:val="both"/>
        <w:rPr>
          <w:rFonts w:ascii="Times" w:hAnsi="Times"/>
          <w:b/>
          <w:bCs/>
          <w:sz w:val="22"/>
          <w:szCs w:val="22"/>
        </w:rPr>
      </w:pPr>
      <w:r w:rsidRPr="005470C6">
        <w:rPr>
          <w:rFonts w:ascii="Times" w:hAnsi="Times"/>
          <w:sz w:val="22"/>
          <w:szCs w:val="22"/>
          <w:lang w:val="en-US"/>
        </w:rPr>
        <w:t>The aim was to evaluate th</w:t>
      </w:r>
      <w:r w:rsidR="00522306" w:rsidRPr="005470C6">
        <w:rPr>
          <w:rFonts w:ascii="Times" w:hAnsi="Times"/>
          <w:sz w:val="22"/>
          <w:szCs w:val="22"/>
          <w:lang w:val="en-US"/>
        </w:rPr>
        <w:t xml:space="preserve">e main indications for prenatal diagnosis, the </w:t>
      </w:r>
      <w:r w:rsidRPr="005470C6">
        <w:rPr>
          <w:rFonts w:ascii="Times" w:hAnsi="Times"/>
          <w:sz w:val="22"/>
          <w:szCs w:val="22"/>
          <w:lang w:val="en-US"/>
        </w:rPr>
        <w:t xml:space="preserve">prevalence of abnormal </w:t>
      </w:r>
      <w:r w:rsidR="00FB44DD" w:rsidRPr="00E43126">
        <w:rPr>
          <w:rFonts w:ascii="Times" w:eastAsia="Times New Roman" w:hAnsi="Times" w:cs="Times New Roman"/>
          <w:color w:val="0F0F0F"/>
          <w:sz w:val="22"/>
          <w:szCs w:val="22"/>
          <w:lang w:eastAsia="pt-PT"/>
        </w:rPr>
        <w:t xml:space="preserve">copy number variations </w:t>
      </w:r>
      <w:r w:rsidR="00FB44DD" w:rsidRPr="005470C6">
        <w:rPr>
          <w:rFonts w:ascii="Times" w:eastAsia="Times New Roman" w:hAnsi="Times" w:cs="Times New Roman"/>
          <w:color w:val="0F0F0F"/>
          <w:sz w:val="22"/>
          <w:szCs w:val="22"/>
          <w:lang w:eastAsia="pt-PT"/>
        </w:rPr>
        <w:t>(</w:t>
      </w:r>
      <w:r w:rsidRPr="005470C6">
        <w:rPr>
          <w:rFonts w:ascii="Times" w:hAnsi="Times"/>
          <w:sz w:val="22"/>
          <w:szCs w:val="22"/>
          <w:lang w:val="en-US"/>
        </w:rPr>
        <w:t>CNV</w:t>
      </w:r>
      <w:r w:rsidR="00FB44DD" w:rsidRPr="005470C6">
        <w:rPr>
          <w:rFonts w:ascii="Times" w:hAnsi="Times"/>
          <w:sz w:val="22"/>
          <w:szCs w:val="22"/>
          <w:lang w:val="en-US"/>
        </w:rPr>
        <w:t>)</w:t>
      </w:r>
      <w:r w:rsidRPr="005470C6">
        <w:rPr>
          <w:rFonts w:ascii="Times" w:hAnsi="Times"/>
          <w:sz w:val="22"/>
          <w:szCs w:val="22"/>
          <w:lang w:val="en-US"/>
        </w:rPr>
        <w:t xml:space="preserve"> in prenatal samples and correlate pathological CNV with clinical findings,</w:t>
      </w:r>
      <w:r w:rsidR="00522306" w:rsidRPr="005470C6">
        <w:rPr>
          <w:rFonts w:ascii="Times" w:hAnsi="Times"/>
          <w:sz w:val="22"/>
          <w:szCs w:val="22"/>
          <w:lang w:val="en-US"/>
        </w:rPr>
        <w:t xml:space="preserve"> </w:t>
      </w:r>
      <w:r w:rsidRPr="005470C6">
        <w:rPr>
          <w:rFonts w:ascii="Times" w:hAnsi="Times"/>
          <w:sz w:val="22"/>
          <w:szCs w:val="22"/>
          <w:lang w:val="en-US"/>
        </w:rPr>
        <w:t>the prevalence of VUS</w:t>
      </w:r>
      <w:r w:rsidR="00522306" w:rsidRPr="005470C6">
        <w:rPr>
          <w:rFonts w:ascii="Times" w:hAnsi="Times"/>
          <w:sz w:val="22"/>
          <w:szCs w:val="22"/>
          <w:lang w:val="en-US"/>
        </w:rPr>
        <w:t>, report the rare variants found</w:t>
      </w:r>
      <w:r w:rsidRPr="005470C6">
        <w:rPr>
          <w:rFonts w:ascii="Times" w:hAnsi="Times"/>
          <w:sz w:val="22"/>
          <w:szCs w:val="22"/>
          <w:lang w:val="en-US"/>
        </w:rPr>
        <w:t xml:space="preserve"> and additionally highlight the clinical importance of aCGH in prenatal diagnosis.</w:t>
      </w:r>
    </w:p>
    <w:p w14:paraId="541F6071" w14:textId="52C39F26" w:rsidR="00E43126" w:rsidRPr="005470C6" w:rsidRDefault="00E43126" w:rsidP="005470C6">
      <w:pPr>
        <w:spacing w:line="360" w:lineRule="auto"/>
        <w:jc w:val="both"/>
        <w:rPr>
          <w:rFonts w:ascii="Times" w:hAnsi="Times"/>
          <w:sz w:val="22"/>
          <w:szCs w:val="22"/>
        </w:rPr>
      </w:pPr>
    </w:p>
    <w:p w14:paraId="19B9E932" w14:textId="77777777" w:rsidR="00C717D4" w:rsidRDefault="00C717D4" w:rsidP="005470C6">
      <w:pPr>
        <w:spacing w:line="360" w:lineRule="auto"/>
        <w:jc w:val="both"/>
        <w:rPr>
          <w:rFonts w:ascii="Times" w:hAnsi="Times"/>
          <w:b/>
          <w:bCs/>
          <w:sz w:val="22"/>
          <w:szCs w:val="22"/>
        </w:rPr>
      </w:pPr>
      <w:r w:rsidRPr="00C717D4">
        <w:rPr>
          <w:rFonts w:ascii="Times" w:hAnsi="Times"/>
          <w:b/>
          <w:bCs/>
          <w:sz w:val="22"/>
          <w:szCs w:val="22"/>
        </w:rPr>
        <w:t>M</w:t>
      </w:r>
      <w:r w:rsidRPr="00C717D4">
        <w:rPr>
          <w:rFonts w:ascii="Times" w:hAnsi="Times"/>
          <w:b/>
          <w:bCs/>
          <w:sz w:val="22"/>
          <w:szCs w:val="22"/>
        </w:rPr>
        <w:t>ethodology</w:t>
      </w:r>
    </w:p>
    <w:p w14:paraId="6D869398" w14:textId="6F83434E" w:rsidR="00522306" w:rsidRPr="005470C6" w:rsidRDefault="00522306" w:rsidP="005470C6">
      <w:pPr>
        <w:spacing w:line="360" w:lineRule="auto"/>
        <w:jc w:val="both"/>
        <w:rPr>
          <w:rFonts w:ascii="Times" w:hAnsi="Times"/>
          <w:sz w:val="22"/>
          <w:szCs w:val="22"/>
        </w:rPr>
      </w:pPr>
      <w:r w:rsidRPr="00E43126">
        <w:rPr>
          <w:rFonts w:ascii="Times" w:eastAsia="Times New Roman" w:hAnsi="Times" w:cs="Times New Roman"/>
          <w:color w:val="0F0F0F"/>
          <w:sz w:val="22"/>
          <w:szCs w:val="22"/>
          <w:lang w:eastAsia="pt-PT"/>
        </w:rPr>
        <w:t xml:space="preserve">Using aCGH, we performed a retrospective study of 772 fetuses with indication for genetic study </w:t>
      </w:r>
      <w:r w:rsidRPr="00E43126">
        <w:rPr>
          <w:rFonts w:ascii="Times" w:eastAsia="Times New Roman" w:hAnsi="Times" w:cs="Times New Roman"/>
          <w:sz w:val="22"/>
          <w:szCs w:val="22"/>
          <w:lang w:eastAsia="pt-PT"/>
        </w:rPr>
        <w:t>in two tertiary hospitals, between March 2013 and June 2022. Cases were sorted into groups according indication to perform invasive test.</w:t>
      </w:r>
    </w:p>
    <w:p w14:paraId="418BFA62" w14:textId="32115F90" w:rsidR="00E43126" w:rsidRPr="005470C6" w:rsidRDefault="00E43126" w:rsidP="005470C6">
      <w:pPr>
        <w:spacing w:line="360" w:lineRule="auto"/>
        <w:jc w:val="both"/>
        <w:rPr>
          <w:rFonts w:ascii="Times" w:hAnsi="Times"/>
          <w:b/>
          <w:bCs/>
          <w:sz w:val="22"/>
          <w:szCs w:val="22"/>
        </w:rPr>
      </w:pPr>
    </w:p>
    <w:p w14:paraId="64C3F580" w14:textId="77777777" w:rsidR="00C717D4" w:rsidRDefault="00C717D4" w:rsidP="001A60C3">
      <w:pPr>
        <w:spacing w:line="360" w:lineRule="auto"/>
        <w:jc w:val="both"/>
        <w:rPr>
          <w:rFonts w:ascii="Times" w:hAnsi="Times"/>
          <w:b/>
          <w:bCs/>
          <w:sz w:val="22"/>
          <w:szCs w:val="22"/>
        </w:rPr>
      </w:pPr>
      <w:r w:rsidRPr="00C717D4">
        <w:rPr>
          <w:rFonts w:ascii="Times" w:hAnsi="Times"/>
          <w:b/>
          <w:bCs/>
          <w:sz w:val="22"/>
          <w:szCs w:val="22"/>
        </w:rPr>
        <w:t>Results and Conclusions</w:t>
      </w:r>
    </w:p>
    <w:p w14:paraId="3E5D423F" w14:textId="1D446ADA" w:rsidR="001A60C3" w:rsidRPr="005470C6" w:rsidRDefault="001A60C3" w:rsidP="001A60C3">
      <w:pPr>
        <w:spacing w:line="360" w:lineRule="auto"/>
        <w:jc w:val="both"/>
        <w:rPr>
          <w:rFonts w:ascii="Times" w:hAnsi="Times"/>
          <w:color w:val="0F0F0F"/>
          <w:sz w:val="22"/>
          <w:szCs w:val="22"/>
        </w:rPr>
      </w:pPr>
      <w:r w:rsidRPr="00423ED3">
        <w:rPr>
          <w:rFonts w:ascii="Times" w:hAnsi="Times"/>
          <w:color w:val="111111"/>
          <w:sz w:val="22"/>
          <w:szCs w:val="22"/>
          <w:lang w:val="en-US"/>
        </w:rPr>
        <w:t>Our results demonstrated 8.3% (6.4-10.5%, 95% confidence interval (CI)) detection rate</w:t>
      </w:r>
      <w:r w:rsidRPr="00E43126">
        <w:rPr>
          <w:rFonts w:ascii="Times" w:hAnsi="Times"/>
          <w:color w:val="0F0F0F"/>
          <w:sz w:val="22"/>
          <w:szCs w:val="22"/>
        </w:rPr>
        <w:t xml:space="preserve"> of pathogenic</w:t>
      </w:r>
      <w:r w:rsidRPr="005470C6">
        <w:rPr>
          <w:rFonts w:ascii="Times" w:hAnsi="Times"/>
          <w:color w:val="0F0F0F"/>
          <w:sz w:val="22"/>
          <w:szCs w:val="22"/>
        </w:rPr>
        <w:t xml:space="preserve"> </w:t>
      </w:r>
      <w:r w:rsidRPr="00E43126">
        <w:rPr>
          <w:rFonts w:ascii="Times" w:hAnsi="Times"/>
          <w:color w:val="0F0F0F"/>
          <w:sz w:val="22"/>
          <w:szCs w:val="22"/>
        </w:rPr>
        <w:t xml:space="preserve">CNV. </w:t>
      </w:r>
      <w:r w:rsidRPr="00D847C6">
        <w:rPr>
          <w:rFonts w:ascii="Times" w:hAnsi="Times"/>
          <w:color w:val="111111"/>
          <w:sz w:val="22"/>
          <w:szCs w:val="22"/>
          <w:lang w:val="en-US"/>
        </w:rPr>
        <w:t>Within this group</w:t>
      </w:r>
      <w:r w:rsidRPr="00E43126">
        <w:rPr>
          <w:rFonts w:ascii="Times" w:hAnsi="Times"/>
          <w:color w:val="0F0F0F"/>
          <w:sz w:val="22"/>
          <w:szCs w:val="22"/>
        </w:rPr>
        <w:t xml:space="preserve">, the main indication was structural malformations (57%) </w:t>
      </w:r>
      <w:r w:rsidRPr="00420F62">
        <w:rPr>
          <w:rFonts w:ascii="Times" w:hAnsi="Times"/>
          <w:color w:val="0F0F0F"/>
          <w:sz w:val="22"/>
          <w:szCs w:val="22"/>
        </w:rPr>
        <w:t xml:space="preserve">mainly involving </w:t>
      </w:r>
      <w:r w:rsidRPr="005470C6">
        <w:rPr>
          <w:rFonts w:ascii="Times" w:hAnsi="Times"/>
          <w:color w:val="0F0F0F"/>
          <w:sz w:val="22"/>
          <w:szCs w:val="22"/>
        </w:rPr>
        <w:t>CNS, musculoskeletal and cardiac systems</w:t>
      </w:r>
      <w:r>
        <w:rPr>
          <w:rFonts w:ascii="Times" w:hAnsi="Times"/>
          <w:color w:val="0F0F0F"/>
          <w:sz w:val="22"/>
          <w:szCs w:val="22"/>
        </w:rPr>
        <w:t xml:space="preserve">. Pathogenic results in </w:t>
      </w:r>
      <w:r w:rsidRPr="00E43126">
        <w:rPr>
          <w:rFonts w:ascii="Times" w:hAnsi="Times"/>
          <w:color w:val="0F0F0F"/>
          <w:sz w:val="22"/>
          <w:szCs w:val="22"/>
        </w:rPr>
        <w:t>cases with multiple malformations</w:t>
      </w:r>
      <w:r w:rsidRPr="00E72525">
        <w:rPr>
          <w:rFonts w:ascii="Times" w:hAnsi="Times"/>
          <w:color w:val="0F0F0F"/>
          <w:sz w:val="22"/>
          <w:szCs w:val="22"/>
        </w:rPr>
        <w:t xml:space="preserve"> </w:t>
      </w:r>
      <w:r w:rsidRPr="00E43126">
        <w:rPr>
          <w:rFonts w:ascii="Times" w:hAnsi="Times"/>
          <w:color w:val="0F0F0F"/>
          <w:sz w:val="22"/>
          <w:szCs w:val="22"/>
        </w:rPr>
        <w:t>was statistically higher than in cases with isolated anatomical system malformations (p&lt;0.001).</w:t>
      </w:r>
      <w:r w:rsidRPr="005470C6">
        <w:rPr>
          <w:rFonts w:ascii="Times" w:hAnsi="Times"/>
          <w:color w:val="0F0F0F"/>
          <w:sz w:val="22"/>
          <w:szCs w:val="22"/>
        </w:rPr>
        <w:t xml:space="preserve"> The second most frequent indication was increased nuchal translucency (5-6.4mm).</w:t>
      </w:r>
    </w:p>
    <w:p w14:paraId="1AC34F25" w14:textId="77777777" w:rsidR="001A60C3" w:rsidRDefault="001A60C3" w:rsidP="001A60C3">
      <w:pPr>
        <w:pStyle w:val="NormalWeb"/>
        <w:spacing w:before="0" w:beforeAutospacing="0" w:after="0" w:afterAutospacing="0" w:line="360" w:lineRule="auto"/>
        <w:jc w:val="both"/>
        <w:rPr>
          <w:rFonts w:ascii="Times" w:hAnsi="Times"/>
          <w:sz w:val="22"/>
          <w:szCs w:val="22"/>
        </w:rPr>
      </w:pPr>
      <w:r w:rsidRPr="00E43126">
        <w:rPr>
          <w:rFonts w:ascii="Times" w:hAnsi="Times"/>
          <w:color w:val="0F0F0F"/>
          <w:sz w:val="22"/>
          <w:szCs w:val="22"/>
        </w:rPr>
        <w:t>However, the rate of pathogenic CNV did not show significant differences between structural and non-structural malformations (p&gt;0.001), highlighting the relevance of genetic study by aCGH in all cases.</w:t>
      </w:r>
    </w:p>
    <w:p w14:paraId="51BFF344" w14:textId="77777777" w:rsidR="001A60C3" w:rsidRPr="005470C6" w:rsidRDefault="001A60C3" w:rsidP="001A60C3">
      <w:pPr>
        <w:pStyle w:val="NormalWeb"/>
        <w:spacing w:before="0" w:beforeAutospacing="0" w:after="0" w:afterAutospacing="0" w:line="360" w:lineRule="auto"/>
        <w:jc w:val="both"/>
        <w:rPr>
          <w:rFonts w:ascii="Times" w:hAnsi="Times"/>
          <w:color w:val="0F0F0F"/>
          <w:sz w:val="22"/>
          <w:szCs w:val="22"/>
        </w:rPr>
      </w:pPr>
      <w:r w:rsidRPr="005470C6">
        <w:rPr>
          <w:rFonts w:ascii="Times" w:hAnsi="Times"/>
          <w:color w:val="0F0F0F"/>
          <w:sz w:val="22"/>
          <w:szCs w:val="22"/>
        </w:rPr>
        <w:t>A total of 217 fetuses with CNV classified as VUS were identified, mainly involving chromosomes X, 1 and 16.</w:t>
      </w:r>
    </w:p>
    <w:p w14:paraId="1BC4EF9F" w14:textId="6E6BE247" w:rsidR="00FB44DD" w:rsidRPr="005470C6" w:rsidRDefault="00FB44DD" w:rsidP="001A60C3">
      <w:pPr>
        <w:pStyle w:val="NormalWeb"/>
        <w:spacing w:before="0" w:beforeAutospacing="0" w:after="0" w:afterAutospacing="0" w:line="360" w:lineRule="auto"/>
        <w:jc w:val="both"/>
        <w:rPr>
          <w:rFonts w:ascii="Times" w:hAnsi="Times"/>
          <w:sz w:val="22"/>
          <w:szCs w:val="22"/>
        </w:rPr>
      </w:pPr>
      <w:r w:rsidRPr="005470C6">
        <w:rPr>
          <w:rFonts w:ascii="Times" w:hAnsi="Times"/>
          <w:color w:val="111111"/>
          <w:sz w:val="22"/>
          <w:szCs w:val="22"/>
          <w:lang w:val="en-US"/>
        </w:rPr>
        <w:t>Our findings demonstrate 4.9% (4.2-5.6%, 95% CI) increased in the diagnostic yield using aCGH compared to the use of conventional karyotype alone, confirming that the aCGH can improve the accuracy of prenatal diagnosis.</w:t>
      </w:r>
    </w:p>
    <w:p w14:paraId="61421689" w14:textId="2C63701A" w:rsidR="00E43126" w:rsidRPr="005470C6" w:rsidRDefault="00522306" w:rsidP="001A60C3">
      <w:pPr>
        <w:pStyle w:val="NormalWeb"/>
        <w:spacing w:before="0" w:beforeAutospacing="0" w:after="0" w:afterAutospacing="0" w:line="360" w:lineRule="auto"/>
        <w:jc w:val="both"/>
        <w:rPr>
          <w:rFonts w:ascii="Times" w:hAnsi="Times"/>
          <w:sz w:val="22"/>
          <w:szCs w:val="22"/>
        </w:rPr>
      </w:pPr>
      <w:r w:rsidRPr="005470C6">
        <w:rPr>
          <w:rFonts w:ascii="Times" w:hAnsi="Times"/>
          <w:sz w:val="22"/>
          <w:szCs w:val="22"/>
        </w:rPr>
        <w:t>Our survey provides a full</w:t>
      </w:r>
      <w:r w:rsidR="00FB44DD" w:rsidRPr="005470C6">
        <w:rPr>
          <w:rFonts w:ascii="Times" w:hAnsi="Times"/>
          <w:sz w:val="22"/>
          <w:szCs w:val="22"/>
          <w:lang w:val="en-US"/>
        </w:rPr>
        <w:t xml:space="preserve"> genotype-phenotype</w:t>
      </w:r>
      <w:r w:rsidRPr="005470C6">
        <w:rPr>
          <w:rFonts w:ascii="Times" w:hAnsi="Times"/>
          <w:sz w:val="22"/>
          <w:szCs w:val="22"/>
        </w:rPr>
        <w:t xml:space="preserve"> analysis</w:t>
      </w:r>
      <w:r w:rsidR="00FB44DD" w:rsidRPr="005470C6">
        <w:rPr>
          <w:rFonts w:ascii="Times" w:hAnsi="Times"/>
          <w:sz w:val="22"/>
          <w:szCs w:val="22"/>
        </w:rPr>
        <w:t xml:space="preserve"> </w:t>
      </w:r>
      <w:r w:rsidRPr="005470C6">
        <w:rPr>
          <w:rFonts w:ascii="Times" w:hAnsi="Times"/>
          <w:sz w:val="22"/>
          <w:szCs w:val="22"/>
        </w:rPr>
        <w:t>that can be clinically useful for the classification of variants and for the understanding of phenotypes so that the diagnostic result is increasingly reliable and clear.</w:t>
      </w:r>
    </w:p>
    <w:sectPr w:rsidR="00E43126" w:rsidRPr="005470C6" w:rsidSect="00CF1997">
      <w:pgSz w:w="11900" w:h="16840"/>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4"/>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26"/>
    <w:rsid w:val="001A60C3"/>
    <w:rsid w:val="001E7EE6"/>
    <w:rsid w:val="00522306"/>
    <w:rsid w:val="005470C6"/>
    <w:rsid w:val="00645A15"/>
    <w:rsid w:val="00647757"/>
    <w:rsid w:val="00780B2F"/>
    <w:rsid w:val="007D7D27"/>
    <w:rsid w:val="008245BC"/>
    <w:rsid w:val="00BB00ED"/>
    <w:rsid w:val="00C717D4"/>
    <w:rsid w:val="00CF1997"/>
    <w:rsid w:val="00D40B3A"/>
    <w:rsid w:val="00E43126"/>
    <w:rsid w:val="00E72525"/>
    <w:rsid w:val="00F96A4F"/>
    <w:rsid w:val="00FB44D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4:docId w14:val="4C670DD5"/>
  <w15:chartTrackingRefBased/>
  <w15:docId w15:val="{16B7CB21-3335-134C-8C43-528C4C85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E43126"/>
    <w:pPr>
      <w:spacing w:before="100" w:beforeAutospacing="1" w:after="100" w:afterAutospacing="1"/>
    </w:pPr>
    <w:rPr>
      <w:rFonts w:ascii="Times New Roman" w:eastAsia="Times New Roman" w:hAnsi="Times New Roman" w:cs="Times New Roman"/>
      <w:lang w:eastAsia="pt-PT"/>
    </w:rPr>
  </w:style>
  <w:style w:type="paragraph" w:styleId="Textosimples">
    <w:name w:val="Plain Text"/>
    <w:basedOn w:val="Normal"/>
    <w:link w:val="TextosimplesCarter"/>
    <w:uiPriority w:val="99"/>
    <w:semiHidden/>
    <w:unhideWhenUsed/>
    <w:rsid w:val="00E43126"/>
    <w:rPr>
      <w:rFonts w:ascii="Calibri" w:hAnsi="Calibri"/>
      <w:sz w:val="22"/>
      <w:szCs w:val="21"/>
    </w:rPr>
  </w:style>
  <w:style w:type="character" w:customStyle="1" w:styleId="TextosimplesCarter">
    <w:name w:val="Texto simples Caráter"/>
    <w:basedOn w:val="Tipodeletrapredefinidodopargrafo"/>
    <w:link w:val="Textosimples"/>
    <w:uiPriority w:val="99"/>
    <w:semiHidden/>
    <w:rsid w:val="00E43126"/>
    <w:rPr>
      <w:rFonts w:ascii="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105459">
      <w:bodyDiv w:val="1"/>
      <w:marLeft w:val="0"/>
      <w:marRight w:val="0"/>
      <w:marTop w:val="0"/>
      <w:marBottom w:val="0"/>
      <w:divBdr>
        <w:top w:val="none" w:sz="0" w:space="0" w:color="auto"/>
        <w:left w:val="none" w:sz="0" w:space="0" w:color="auto"/>
        <w:bottom w:val="none" w:sz="0" w:space="0" w:color="auto"/>
        <w:right w:val="none" w:sz="0" w:space="0" w:color="auto"/>
      </w:divBdr>
      <w:divsChild>
        <w:div w:id="363404785">
          <w:marLeft w:val="0"/>
          <w:marRight w:val="0"/>
          <w:marTop w:val="0"/>
          <w:marBottom w:val="0"/>
          <w:divBdr>
            <w:top w:val="none" w:sz="0" w:space="0" w:color="auto"/>
            <w:left w:val="none" w:sz="0" w:space="0" w:color="auto"/>
            <w:bottom w:val="none" w:sz="0" w:space="0" w:color="auto"/>
            <w:right w:val="none" w:sz="0" w:space="0" w:color="auto"/>
          </w:divBdr>
          <w:divsChild>
            <w:div w:id="420807240">
              <w:marLeft w:val="0"/>
              <w:marRight w:val="0"/>
              <w:marTop w:val="0"/>
              <w:marBottom w:val="0"/>
              <w:divBdr>
                <w:top w:val="none" w:sz="0" w:space="0" w:color="auto"/>
                <w:left w:val="none" w:sz="0" w:space="0" w:color="auto"/>
                <w:bottom w:val="none" w:sz="0" w:space="0" w:color="auto"/>
                <w:right w:val="none" w:sz="0" w:space="0" w:color="auto"/>
              </w:divBdr>
              <w:divsChild>
                <w:div w:id="208036444">
                  <w:marLeft w:val="0"/>
                  <w:marRight w:val="0"/>
                  <w:marTop w:val="0"/>
                  <w:marBottom w:val="0"/>
                  <w:divBdr>
                    <w:top w:val="none" w:sz="0" w:space="0" w:color="auto"/>
                    <w:left w:val="none" w:sz="0" w:space="0" w:color="auto"/>
                    <w:bottom w:val="none" w:sz="0" w:space="0" w:color="auto"/>
                    <w:right w:val="none" w:sz="0" w:space="0" w:color="auto"/>
                  </w:divBdr>
                  <w:divsChild>
                    <w:div w:id="84609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931064">
      <w:bodyDiv w:val="1"/>
      <w:marLeft w:val="0"/>
      <w:marRight w:val="0"/>
      <w:marTop w:val="0"/>
      <w:marBottom w:val="0"/>
      <w:divBdr>
        <w:top w:val="none" w:sz="0" w:space="0" w:color="auto"/>
        <w:left w:val="none" w:sz="0" w:space="0" w:color="auto"/>
        <w:bottom w:val="none" w:sz="0" w:space="0" w:color="auto"/>
        <w:right w:val="none" w:sz="0" w:space="0" w:color="auto"/>
      </w:divBdr>
      <w:divsChild>
        <w:div w:id="1488982289">
          <w:marLeft w:val="0"/>
          <w:marRight w:val="0"/>
          <w:marTop w:val="0"/>
          <w:marBottom w:val="0"/>
          <w:divBdr>
            <w:top w:val="none" w:sz="0" w:space="0" w:color="auto"/>
            <w:left w:val="none" w:sz="0" w:space="0" w:color="auto"/>
            <w:bottom w:val="none" w:sz="0" w:space="0" w:color="auto"/>
            <w:right w:val="none" w:sz="0" w:space="0" w:color="auto"/>
          </w:divBdr>
          <w:divsChild>
            <w:div w:id="964123500">
              <w:marLeft w:val="0"/>
              <w:marRight w:val="0"/>
              <w:marTop w:val="0"/>
              <w:marBottom w:val="0"/>
              <w:divBdr>
                <w:top w:val="none" w:sz="0" w:space="0" w:color="auto"/>
                <w:left w:val="none" w:sz="0" w:space="0" w:color="auto"/>
                <w:bottom w:val="none" w:sz="0" w:space="0" w:color="auto"/>
                <w:right w:val="none" w:sz="0" w:space="0" w:color="auto"/>
              </w:divBdr>
              <w:divsChild>
                <w:div w:id="19875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52741">
          <w:marLeft w:val="0"/>
          <w:marRight w:val="0"/>
          <w:marTop w:val="0"/>
          <w:marBottom w:val="0"/>
          <w:divBdr>
            <w:top w:val="none" w:sz="0" w:space="0" w:color="auto"/>
            <w:left w:val="none" w:sz="0" w:space="0" w:color="auto"/>
            <w:bottom w:val="none" w:sz="0" w:space="0" w:color="auto"/>
            <w:right w:val="none" w:sz="0" w:space="0" w:color="auto"/>
          </w:divBdr>
          <w:divsChild>
            <w:div w:id="1316952532">
              <w:marLeft w:val="0"/>
              <w:marRight w:val="0"/>
              <w:marTop w:val="0"/>
              <w:marBottom w:val="0"/>
              <w:divBdr>
                <w:top w:val="none" w:sz="0" w:space="0" w:color="auto"/>
                <w:left w:val="none" w:sz="0" w:space="0" w:color="auto"/>
                <w:bottom w:val="none" w:sz="0" w:space="0" w:color="auto"/>
                <w:right w:val="none" w:sz="0" w:space="0" w:color="auto"/>
              </w:divBdr>
              <w:divsChild>
                <w:div w:id="127975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843424">
      <w:bodyDiv w:val="1"/>
      <w:marLeft w:val="0"/>
      <w:marRight w:val="0"/>
      <w:marTop w:val="0"/>
      <w:marBottom w:val="0"/>
      <w:divBdr>
        <w:top w:val="none" w:sz="0" w:space="0" w:color="auto"/>
        <w:left w:val="none" w:sz="0" w:space="0" w:color="auto"/>
        <w:bottom w:val="none" w:sz="0" w:space="0" w:color="auto"/>
        <w:right w:val="none" w:sz="0" w:space="0" w:color="auto"/>
      </w:divBdr>
      <w:divsChild>
        <w:div w:id="1469931218">
          <w:marLeft w:val="0"/>
          <w:marRight w:val="0"/>
          <w:marTop w:val="0"/>
          <w:marBottom w:val="0"/>
          <w:divBdr>
            <w:top w:val="none" w:sz="0" w:space="0" w:color="auto"/>
            <w:left w:val="none" w:sz="0" w:space="0" w:color="auto"/>
            <w:bottom w:val="none" w:sz="0" w:space="0" w:color="auto"/>
            <w:right w:val="none" w:sz="0" w:space="0" w:color="auto"/>
          </w:divBdr>
          <w:divsChild>
            <w:div w:id="962270492">
              <w:marLeft w:val="0"/>
              <w:marRight w:val="0"/>
              <w:marTop w:val="0"/>
              <w:marBottom w:val="0"/>
              <w:divBdr>
                <w:top w:val="none" w:sz="0" w:space="0" w:color="auto"/>
                <w:left w:val="none" w:sz="0" w:space="0" w:color="auto"/>
                <w:bottom w:val="none" w:sz="0" w:space="0" w:color="auto"/>
                <w:right w:val="none" w:sz="0" w:space="0" w:color="auto"/>
              </w:divBdr>
              <w:divsChild>
                <w:div w:id="2005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353</Words>
  <Characters>1908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Beatriz Gomes Couceiro da Costa</dc:creator>
  <cp:keywords/>
  <dc:description/>
  <cp:lastModifiedBy>Isabel Beatriz Gomes Couceiro da Costa</cp:lastModifiedBy>
  <cp:revision>6</cp:revision>
  <dcterms:created xsi:type="dcterms:W3CDTF">2022-08-25T15:42:00Z</dcterms:created>
  <dcterms:modified xsi:type="dcterms:W3CDTF">2022-08-30T12:04:00Z</dcterms:modified>
</cp:coreProperties>
</file>