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56C6DE" w14:textId="6A43151E" w:rsidR="0092530A" w:rsidRPr="00936333" w:rsidRDefault="0092530A" w:rsidP="00732D06">
      <w:pPr>
        <w:spacing w:line="240" w:lineRule="auto"/>
        <w:rPr>
          <w:b/>
          <w:bCs/>
          <w:sz w:val="24"/>
          <w:szCs w:val="24"/>
        </w:rPr>
      </w:pPr>
      <w:r w:rsidRPr="00D5400C">
        <w:rPr>
          <w:b/>
          <w:bCs/>
          <w:sz w:val="24"/>
          <w:szCs w:val="24"/>
        </w:rPr>
        <w:t>Fresh Frozen Plasma in recurrent pregnancy loss due to Factor XIII Val34Leu</w:t>
      </w:r>
      <w:r w:rsidRPr="00936333">
        <w:rPr>
          <w:b/>
          <w:bCs/>
          <w:sz w:val="24"/>
          <w:szCs w:val="24"/>
        </w:rPr>
        <w:t xml:space="preserve">: </w:t>
      </w:r>
      <w:r w:rsidRPr="00732D06">
        <w:rPr>
          <w:sz w:val="24"/>
          <w:szCs w:val="24"/>
        </w:rPr>
        <w:t xml:space="preserve">Case </w:t>
      </w:r>
      <w:r w:rsidR="00732D06" w:rsidRPr="00732D06">
        <w:rPr>
          <w:sz w:val="24"/>
          <w:szCs w:val="24"/>
        </w:rPr>
        <w:t>Series</w:t>
      </w:r>
    </w:p>
    <w:p w14:paraId="351822D1" w14:textId="021EEC5E" w:rsidR="0092530A" w:rsidRPr="00472A15" w:rsidRDefault="0092530A" w:rsidP="00525B40">
      <w:pPr>
        <w:spacing w:line="240" w:lineRule="auto"/>
        <w:rPr>
          <w:vertAlign w:val="superscript"/>
        </w:rPr>
      </w:pPr>
      <w:r w:rsidRPr="00472A15">
        <w:t>Alaa Ismail</w:t>
      </w:r>
      <w:r w:rsidRPr="00472A15">
        <w:rPr>
          <w:vertAlign w:val="superscript"/>
        </w:rPr>
        <w:t>1</w:t>
      </w:r>
      <w:r w:rsidR="006B6F80">
        <w:rPr>
          <w:vertAlign w:val="superscript"/>
        </w:rPr>
        <w:t>*</w:t>
      </w:r>
      <w:r w:rsidRPr="00472A15">
        <w:t>,</w:t>
      </w:r>
      <w:r w:rsidR="008819B7">
        <w:t xml:space="preserve"> </w:t>
      </w:r>
      <w:proofErr w:type="spellStart"/>
      <w:r w:rsidR="006104BF" w:rsidRPr="00472A15">
        <w:t>Anas</w:t>
      </w:r>
      <w:proofErr w:type="spellEnd"/>
      <w:r w:rsidR="006104BF" w:rsidRPr="00472A15">
        <w:t xml:space="preserve"> Ismail</w:t>
      </w:r>
      <w:r w:rsidR="008819B7">
        <w:rPr>
          <w:vertAlign w:val="superscript"/>
        </w:rPr>
        <w:t>2</w:t>
      </w:r>
      <w:r w:rsidR="008819B7">
        <w:t xml:space="preserve">, </w:t>
      </w:r>
      <w:r w:rsidRPr="00472A15">
        <w:t>Mohammed Joudeh</w:t>
      </w:r>
      <w:r w:rsidR="006104BF">
        <w:rPr>
          <w:vertAlign w:val="superscript"/>
        </w:rPr>
        <w:t>3</w:t>
      </w:r>
      <w:r w:rsidRPr="00472A15">
        <w:t xml:space="preserve"> </w:t>
      </w:r>
    </w:p>
    <w:p w14:paraId="79FC829D" w14:textId="77777777" w:rsidR="0092530A" w:rsidRDefault="0092530A" w:rsidP="0092530A">
      <w:pPr>
        <w:spacing w:line="240" w:lineRule="auto"/>
        <w:rPr>
          <w:b/>
          <w:bCs/>
        </w:rPr>
      </w:pPr>
    </w:p>
    <w:p w14:paraId="672BC74E" w14:textId="08E5D5EC" w:rsidR="0092530A" w:rsidRDefault="0092530A" w:rsidP="00E9400F">
      <w:pPr>
        <w:spacing w:line="240" w:lineRule="auto"/>
      </w:pPr>
      <w:r w:rsidRPr="0041194B">
        <w:rPr>
          <w:b/>
          <w:bCs/>
          <w:vertAlign w:val="superscript"/>
        </w:rPr>
        <w:t>1</w:t>
      </w:r>
      <w:r>
        <w:t>Obstetrics and Gynecology</w:t>
      </w:r>
      <w:r w:rsidR="00AA164F">
        <w:t xml:space="preserve"> Lecturer</w:t>
      </w:r>
      <w:r>
        <w:t>, Islamic University, Gaza, Palestine</w:t>
      </w:r>
    </w:p>
    <w:p w14:paraId="6673C2E0" w14:textId="194B9E4E" w:rsidR="006104BF" w:rsidRDefault="00B80F17" w:rsidP="006104BF">
      <w:pPr>
        <w:spacing w:line="240" w:lineRule="auto"/>
      </w:pPr>
      <w:r>
        <w:rPr>
          <w:b/>
          <w:bCs/>
          <w:vertAlign w:val="superscript"/>
        </w:rPr>
        <w:t>2</w:t>
      </w:r>
      <w:r w:rsidR="00A66351">
        <w:rPr>
          <w:b/>
          <w:bCs/>
          <w:vertAlign w:val="superscript"/>
        </w:rPr>
        <w:t xml:space="preserve"> </w:t>
      </w:r>
      <w:r w:rsidR="006104BF" w:rsidRPr="008732FD">
        <w:t>King</w:t>
      </w:r>
      <w:r w:rsidR="005B6575">
        <w:t>’</w:t>
      </w:r>
      <w:r w:rsidR="006104BF" w:rsidRPr="008732FD">
        <w:t>s</w:t>
      </w:r>
      <w:r w:rsidR="005B6575">
        <w:t xml:space="preserve"> Centre for Global Health and Health Partnerships, King’s</w:t>
      </w:r>
      <w:r w:rsidR="006104BF" w:rsidRPr="008732FD">
        <w:t xml:space="preserve"> College </w:t>
      </w:r>
      <w:r w:rsidR="00892EA9">
        <w:t>London,</w:t>
      </w:r>
      <w:r w:rsidR="006104BF" w:rsidRPr="008732FD">
        <w:t xml:space="preserve"> UK</w:t>
      </w:r>
    </w:p>
    <w:p w14:paraId="1589E85C" w14:textId="72BD61B4" w:rsidR="0092530A" w:rsidRDefault="006104BF" w:rsidP="0092530A">
      <w:pPr>
        <w:spacing w:line="240" w:lineRule="auto"/>
      </w:pPr>
      <w:r>
        <w:rPr>
          <w:b/>
          <w:bCs/>
          <w:vertAlign w:val="superscript"/>
        </w:rPr>
        <w:t>3</w:t>
      </w:r>
      <w:r w:rsidR="0092530A">
        <w:t xml:space="preserve"> Consultant </w:t>
      </w:r>
      <w:proofErr w:type="gramStart"/>
      <w:r w:rsidR="00CF5475">
        <w:t>Obstetrician</w:t>
      </w:r>
      <w:proofErr w:type="gramEnd"/>
      <w:r w:rsidR="0092530A">
        <w:t xml:space="preserve"> and Gynecologist, FRCOG, </w:t>
      </w:r>
      <w:proofErr w:type="spellStart"/>
      <w:r w:rsidR="0092530A">
        <w:t>Hala</w:t>
      </w:r>
      <w:proofErr w:type="spellEnd"/>
      <w:r w:rsidR="0092530A">
        <w:t xml:space="preserve"> Fertility Center, Gaza, Palestine</w:t>
      </w:r>
    </w:p>
    <w:p w14:paraId="514A98EC" w14:textId="77777777" w:rsidR="006B6F80" w:rsidRDefault="006B6F80" w:rsidP="0092530A">
      <w:pPr>
        <w:spacing w:line="240" w:lineRule="auto"/>
      </w:pPr>
    </w:p>
    <w:p w14:paraId="356C0A37" w14:textId="65282CC6" w:rsidR="0092530A" w:rsidRDefault="006B6F80" w:rsidP="0092530A">
      <w:pPr>
        <w:spacing w:line="240" w:lineRule="auto"/>
      </w:pPr>
      <w:r>
        <w:t>*Corresponding Author</w:t>
      </w:r>
    </w:p>
    <w:p w14:paraId="4E4917F0" w14:textId="31F515CF" w:rsidR="006B6F80" w:rsidRDefault="006B6F80" w:rsidP="0092530A">
      <w:pPr>
        <w:spacing w:line="240" w:lineRule="auto"/>
      </w:pPr>
      <w:r>
        <w:t>School of Medicine, Islamic University in Gaza</w:t>
      </w:r>
    </w:p>
    <w:p w14:paraId="2252715B" w14:textId="16663E57" w:rsidR="006B6F80" w:rsidRDefault="006B6F80" w:rsidP="0092530A">
      <w:pPr>
        <w:spacing w:line="240" w:lineRule="auto"/>
      </w:pPr>
      <w:proofErr w:type="spellStart"/>
      <w:r>
        <w:t>Nitzarim</w:t>
      </w:r>
      <w:proofErr w:type="spellEnd"/>
      <w:r>
        <w:t xml:space="preserve"> Campus</w:t>
      </w:r>
      <w:r w:rsidR="007749DD">
        <w:t>, Gaza</w:t>
      </w:r>
    </w:p>
    <w:p w14:paraId="6B72457A" w14:textId="41AD63BF" w:rsidR="007749DD" w:rsidRDefault="007749DD" w:rsidP="0092530A">
      <w:pPr>
        <w:spacing w:line="240" w:lineRule="auto"/>
      </w:pPr>
      <w:r>
        <w:t>Occupied Palestinian territories</w:t>
      </w:r>
    </w:p>
    <w:p w14:paraId="33D878C5" w14:textId="199D76F3" w:rsidR="007749DD" w:rsidRDefault="007749DD" w:rsidP="0092530A">
      <w:pPr>
        <w:spacing w:line="240" w:lineRule="auto"/>
      </w:pPr>
      <w:r>
        <w:t xml:space="preserve">P.O. Box </w:t>
      </w:r>
    </w:p>
    <w:p w14:paraId="0CD0C164" w14:textId="591E0508" w:rsidR="0092530A" w:rsidRPr="0047024B" w:rsidRDefault="0047024B" w:rsidP="0047024B">
      <w:pPr>
        <w:spacing w:line="240" w:lineRule="auto"/>
        <w:rPr>
          <w:color w:val="0070C0"/>
          <w:u w:val="single"/>
        </w:rPr>
      </w:pPr>
      <w:r w:rsidRPr="0047024B">
        <w:rPr>
          <w:color w:val="0070C0"/>
          <w:u w:val="single"/>
        </w:rPr>
        <w:t>alaa.obgyn2013@gmail.com</w:t>
      </w:r>
    </w:p>
    <w:p w14:paraId="3F97D1E6" w14:textId="77777777" w:rsidR="0092530A" w:rsidRDefault="0092530A" w:rsidP="0092530A">
      <w:pPr>
        <w:spacing w:line="240" w:lineRule="auto"/>
      </w:pPr>
    </w:p>
    <w:p w14:paraId="3E5C43B7" w14:textId="77777777" w:rsidR="0092530A" w:rsidRPr="008732FD" w:rsidRDefault="0092530A" w:rsidP="0092530A">
      <w:pPr>
        <w:spacing w:line="240" w:lineRule="auto"/>
        <w:rPr>
          <w:b/>
          <w:bCs/>
        </w:rPr>
      </w:pPr>
    </w:p>
    <w:p w14:paraId="60C46125" w14:textId="77777777" w:rsidR="00892EA9" w:rsidRDefault="00892EA9" w:rsidP="0092530A">
      <w:pPr>
        <w:spacing w:line="240" w:lineRule="auto"/>
        <w:rPr>
          <w:b/>
          <w:bCs/>
          <w:sz w:val="26"/>
          <w:szCs w:val="26"/>
        </w:rPr>
      </w:pPr>
    </w:p>
    <w:p w14:paraId="4935032B" w14:textId="77777777" w:rsidR="00892EA9" w:rsidRDefault="00892EA9" w:rsidP="0092530A">
      <w:pPr>
        <w:spacing w:line="240" w:lineRule="auto"/>
        <w:rPr>
          <w:b/>
          <w:bCs/>
          <w:sz w:val="26"/>
          <w:szCs w:val="26"/>
        </w:rPr>
      </w:pPr>
    </w:p>
    <w:p w14:paraId="192CB8DB" w14:textId="77777777" w:rsidR="00892EA9" w:rsidRDefault="00892EA9" w:rsidP="0092530A">
      <w:pPr>
        <w:spacing w:line="240" w:lineRule="auto"/>
        <w:rPr>
          <w:b/>
          <w:bCs/>
          <w:sz w:val="26"/>
          <w:szCs w:val="26"/>
        </w:rPr>
      </w:pPr>
    </w:p>
    <w:p w14:paraId="4392B476" w14:textId="77777777" w:rsidR="00892EA9" w:rsidRDefault="00892EA9" w:rsidP="0092530A">
      <w:pPr>
        <w:spacing w:line="240" w:lineRule="auto"/>
        <w:rPr>
          <w:b/>
          <w:bCs/>
          <w:sz w:val="26"/>
          <w:szCs w:val="26"/>
        </w:rPr>
      </w:pPr>
    </w:p>
    <w:p w14:paraId="03F391F1" w14:textId="77777777" w:rsidR="00892EA9" w:rsidRDefault="00892EA9" w:rsidP="0092530A">
      <w:pPr>
        <w:spacing w:line="240" w:lineRule="auto"/>
        <w:rPr>
          <w:b/>
          <w:bCs/>
          <w:sz w:val="26"/>
          <w:szCs w:val="26"/>
        </w:rPr>
      </w:pPr>
    </w:p>
    <w:p w14:paraId="3343DEC7" w14:textId="77777777" w:rsidR="00892EA9" w:rsidRDefault="00892EA9" w:rsidP="0092530A">
      <w:pPr>
        <w:spacing w:line="240" w:lineRule="auto"/>
        <w:rPr>
          <w:b/>
          <w:bCs/>
          <w:sz w:val="26"/>
          <w:szCs w:val="26"/>
        </w:rPr>
      </w:pPr>
    </w:p>
    <w:p w14:paraId="0160AE36" w14:textId="77777777" w:rsidR="00892EA9" w:rsidRDefault="00892EA9" w:rsidP="0092530A">
      <w:pPr>
        <w:spacing w:line="240" w:lineRule="auto"/>
        <w:rPr>
          <w:b/>
          <w:bCs/>
          <w:sz w:val="26"/>
          <w:szCs w:val="26"/>
        </w:rPr>
      </w:pPr>
    </w:p>
    <w:p w14:paraId="45EA234A" w14:textId="77777777" w:rsidR="00892EA9" w:rsidRDefault="00892EA9" w:rsidP="0092530A">
      <w:pPr>
        <w:spacing w:line="240" w:lineRule="auto"/>
        <w:rPr>
          <w:b/>
          <w:bCs/>
          <w:sz w:val="26"/>
          <w:szCs w:val="26"/>
        </w:rPr>
      </w:pPr>
    </w:p>
    <w:p w14:paraId="2BDABB63" w14:textId="77777777" w:rsidR="00892EA9" w:rsidRDefault="00892EA9" w:rsidP="0092530A">
      <w:pPr>
        <w:spacing w:line="240" w:lineRule="auto"/>
        <w:rPr>
          <w:b/>
          <w:bCs/>
          <w:sz w:val="26"/>
          <w:szCs w:val="26"/>
        </w:rPr>
      </w:pPr>
    </w:p>
    <w:p w14:paraId="633E4D7D" w14:textId="77777777" w:rsidR="00892EA9" w:rsidRDefault="00892EA9" w:rsidP="0092530A">
      <w:pPr>
        <w:spacing w:line="240" w:lineRule="auto"/>
        <w:rPr>
          <w:b/>
          <w:bCs/>
          <w:sz w:val="26"/>
          <w:szCs w:val="26"/>
        </w:rPr>
      </w:pPr>
    </w:p>
    <w:p w14:paraId="536A4CCD" w14:textId="77777777" w:rsidR="00892EA9" w:rsidRDefault="00892EA9" w:rsidP="0092530A">
      <w:pPr>
        <w:spacing w:line="240" w:lineRule="auto"/>
        <w:rPr>
          <w:b/>
          <w:bCs/>
          <w:sz w:val="26"/>
          <w:szCs w:val="26"/>
        </w:rPr>
      </w:pPr>
    </w:p>
    <w:p w14:paraId="749E912E" w14:textId="47E5BC01" w:rsidR="0092530A" w:rsidRPr="00A055D9" w:rsidRDefault="0092530A" w:rsidP="0092530A">
      <w:pPr>
        <w:spacing w:line="240" w:lineRule="auto"/>
        <w:rPr>
          <w:b/>
          <w:bCs/>
          <w:sz w:val="26"/>
          <w:szCs w:val="26"/>
        </w:rPr>
      </w:pPr>
      <w:r w:rsidRPr="00A055D9">
        <w:rPr>
          <w:b/>
          <w:bCs/>
          <w:sz w:val="26"/>
          <w:szCs w:val="26"/>
        </w:rPr>
        <w:lastRenderedPageBreak/>
        <w:t>Abstract</w:t>
      </w:r>
    </w:p>
    <w:p w14:paraId="0234796A" w14:textId="65DE26CF" w:rsidR="0092530A" w:rsidRDefault="008D3643" w:rsidP="002A3631">
      <w:pPr>
        <w:spacing w:line="240" w:lineRule="auto"/>
      </w:pPr>
      <w:r w:rsidRPr="008D3643">
        <w:rPr>
          <w:b/>
          <w:bCs/>
        </w:rPr>
        <w:t>Background:</w:t>
      </w:r>
      <w:r>
        <w:t xml:space="preserve"> </w:t>
      </w:r>
      <w:r w:rsidR="003C2B4C" w:rsidRPr="00A85045">
        <w:t xml:space="preserve">Recurrent Pregnancy Loss (RPL) is defined as three or more consecutive pregnancy losses before 24 weeks of gestation, whereas on clinical grounds many clinicians consider RPL as two or more </w:t>
      </w:r>
      <w:r w:rsidR="00F26668">
        <w:t>non-</w:t>
      </w:r>
      <w:r w:rsidR="003C2B4C" w:rsidRPr="00A85045">
        <w:t>consecutive pregnancy losses</w:t>
      </w:r>
      <w:r w:rsidR="003C2B4C">
        <w:t xml:space="preserve">. </w:t>
      </w:r>
      <w:r w:rsidR="003C2B4C" w:rsidRPr="00A85045">
        <w:t xml:space="preserve">Many causes of PRL have been identified including uterine anomalies, chromosomal aberrations, </w:t>
      </w:r>
      <w:proofErr w:type="spellStart"/>
      <w:r w:rsidR="003C2B4C" w:rsidRPr="00A85045">
        <w:t>antiphospholipid</w:t>
      </w:r>
      <w:proofErr w:type="spellEnd"/>
      <w:r w:rsidR="003C2B4C" w:rsidRPr="00A85045">
        <w:t xml:space="preserve"> antibodies, infections and others. However, the major cause of RPL remains</w:t>
      </w:r>
      <w:r w:rsidR="003C2B4C">
        <w:t xml:space="preserve"> unidentified. A unique coagulation abnormality that has been recently linked to RPL is Factor XIII Val34Leu mutation</w:t>
      </w:r>
      <w:r w:rsidR="00A055D9">
        <w:t>.</w:t>
      </w:r>
      <w:r w:rsidR="00BD0364">
        <w:t xml:space="preserve"> </w:t>
      </w:r>
      <w:r w:rsidR="00144530">
        <w:t>Our case study concentrates on the possible benefit of FFP in treating women with RPL who are homozygous for this mutation.</w:t>
      </w:r>
    </w:p>
    <w:p w14:paraId="0E40D261" w14:textId="707D5CAB" w:rsidR="00FD2467" w:rsidRDefault="00FD2467" w:rsidP="00F54F52">
      <w:pPr>
        <w:spacing w:line="240" w:lineRule="auto"/>
        <w:rPr>
          <w:b/>
          <w:bCs/>
        </w:rPr>
      </w:pPr>
      <w:r w:rsidRPr="00FD2467">
        <w:rPr>
          <w:b/>
          <w:bCs/>
        </w:rPr>
        <w:t xml:space="preserve">Case Presentation: </w:t>
      </w:r>
      <w:r w:rsidR="002A3631" w:rsidRPr="00206D39">
        <w:t>This</w:t>
      </w:r>
      <w:r w:rsidR="002A3631">
        <w:t xml:space="preserve"> was</w:t>
      </w:r>
      <w:r w:rsidR="002A3631" w:rsidRPr="00206D39">
        <w:t xml:space="preserve"> a prospective case-series study conducted in Gaza </w:t>
      </w:r>
      <w:r w:rsidR="002A3631">
        <w:t>of three pregnant patients who presented to our f</w:t>
      </w:r>
      <w:r w:rsidR="002A3631" w:rsidRPr="00222E09">
        <w:t>ertility clinic with histo</w:t>
      </w:r>
      <w:r w:rsidR="00D67F61" w:rsidRPr="00222E09">
        <w:t>ry of RPL</w:t>
      </w:r>
      <w:r w:rsidR="002A3631" w:rsidRPr="00222E09">
        <w:t>. The cases were</w:t>
      </w:r>
      <w:r w:rsidR="00F54F52" w:rsidRPr="00222E09">
        <w:t xml:space="preserve"> investigated for causes of RPL and </w:t>
      </w:r>
      <w:r w:rsidR="000F3EA7" w:rsidRPr="00222E09">
        <w:t>no known cause was identified</w:t>
      </w:r>
      <w:r w:rsidR="00F54F52" w:rsidRPr="00222E09">
        <w:t>. T</w:t>
      </w:r>
      <w:r w:rsidR="002A3631" w:rsidRPr="00222E09">
        <w:t xml:space="preserve">hey were </w:t>
      </w:r>
      <w:r w:rsidR="00F54F52" w:rsidRPr="00222E09">
        <w:t xml:space="preserve">screened </w:t>
      </w:r>
      <w:r w:rsidR="002A3631" w:rsidRPr="00222E09">
        <w:t>for Factor XIII Val34Leu mutation</w:t>
      </w:r>
      <w:r w:rsidR="000F3EA7" w:rsidRPr="00222E09">
        <w:t xml:space="preserve"> for which they were positive</w:t>
      </w:r>
      <w:r w:rsidR="002A3631" w:rsidRPr="00222E09">
        <w:t>. There</w:t>
      </w:r>
      <w:r w:rsidR="002A3631" w:rsidRPr="00A85045">
        <w:t xml:space="preserve"> is little, if any, evidence regarding the best management option in such cases as Factor XIII Val34Leu is not recognized as one of causes of RPL. We decided to treat those patients with Fresh Frozen Plasma (FFP) based on the evidence that Factor XIII dysfunction may lead to improper implantation with poor pregnancy support and thus, pregnancy loss.</w:t>
      </w:r>
      <w:r w:rsidR="00D8094E">
        <w:t xml:space="preserve"> The three patients had uneventful pregnancy </w:t>
      </w:r>
      <w:r w:rsidR="000B140F">
        <w:t>course,</w:t>
      </w:r>
      <w:r w:rsidR="00D8094E">
        <w:t xml:space="preserve"> and all delivered healthy babies.</w:t>
      </w:r>
    </w:p>
    <w:p w14:paraId="60D1ED17" w14:textId="350CA0FB" w:rsidR="00FD2467" w:rsidRPr="00FD2467" w:rsidRDefault="00FD2467" w:rsidP="00C34A6B">
      <w:pPr>
        <w:spacing w:line="240" w:lineRule="auto"/>
        <w:rPr>
          <w:sz w:val="24"/>
          <w:szCs w:val="24"/>
        </w:rPr>
      </w:pPr>
      <w:r>
        <w:rPr>
          <w:b/>
          <w:bCs/>
        </w:rPr>
        <w:t xml:space="preserve">Conclusion: </w:t>
      </w:r>
      <w:r w:rsidRPr="00FD2467">
        <w:t>Homozygous mutation of Factor XIII Val34Leu</w:t>
      </w:r>
      <w:r>
        <w:t xml:space="preserve"> might </w:t>
      </w:r>
      <w:r w:rsidR="002A3631">
        <w:t>have</w:t>
      </w:r>
      <w:r>
        <w:t xml:space="preserve"> a role i</w:t>
      </w:r>
      <w:r w:rsidR="004229BF">
        <w:t>n unexplained RPL</w:t>
      </w:r>
      <w:r w:rsidR="00F0309F">
        <w:t>.</w:t>
      </w:r>
      <w:r>
        <w:t xml:space="preserve"> </w:t>
      </w:r>
      <w:r w:rsidRPr="00A85045">
        <w:t>FFP is a promising adjuvant therapy</w:t>
      </w:r>
      <w:r w:rsidR="00B87A97">
        <w:t xml:space="preserve"> in such cases</w:t>
      </w:r>
      <w:r w:rsidRPr="00A85045">
        <w:t xml:space="preserve"> </w:t>
      </w:r>
      <w:r w:rsidR="00C34A6B">
        <w:t xml:space="preserve">to avoid further </w:t>
      </w:r>
      <w:r w:rsidR="00B87A97">
        <w:t xml:space="preserve">pregnancy </w:t>
      </w:r>
      <w:r w:rsidR="00C34A6B">
        <w:t>loss.</w:t>
      </w:r>
    </w:p>
    <w:p w14:paraId="322299F8" w14:textId="77777777" w:rsidR="0092530A" w:rsidRDefault="0092530A" w:rsidP="0092530A">
      <w:pPr>
        <w:spacing w:line="240" w:lineRule="auto"/>
        <w:rPr>
          <w:sz w:val="24"/>
          <w:szCs w:val="24"/>
        </w:rPr>
      </w:pPr>
    </w:p>
    <w:p w14:paraId="74799D5A" w14:textId="77777777" w:rsidR="0092530A" w:rsidRPr="00206D39" w:rsidRDefault="0092530A" w:rsidP="0092530A">
      <w:pPr>
        <w:spacing w:line="240" w:lineRule="auto"/>
      </w:pPr>
      <w:r w:rsidRPr="00206D39">
        <w:rPr>
          <w:b/>
          <w:bCs/>
        </w:rPr>
        <w:t>Key words:</w:t>
      </w:r>
      <w:r w:rsidRPr="00206D39">
        <w:t xml:space="preserve"> R</w:t>
      </w:r>
      <w:r w:rsidR="00A85045">
        <w:t xml:space="preserve">ecurrent </w:t>
      </w:r>
      <w:r w:rsidRPr="00206D39">
        <w:t>P</w:t>
      </w:r>
      <w:r w:rsidR="00A85045">
        <w:t xml:space="preserve">regnancy </w:t>
      </w:r>
      <w:r w:rsidRPr="00206D39">
        <w:t>L</w:t>
      </w:r>
      <w:r w:rsidR="00A85045">
        <w:t>oss</w:t>
      </w:r>
      <w:r w:rsidRPr="00206D39">
        <w:t xml:space="preserve">, </w:t>
      </w:r>
      <w:r w:rsidRPr="00A85045">
        <w:t>F</w:t>
      </w:r>
      <w:r w:rsidR="00A85045">
        <w:t xml:space="preserve">resh </w:t>
      </w:r>
      <w:r w:rsidRPr="00A85045">
        <w:t>F</w:t>
      </w:r>
      <w:r w:rsidR="00A85045">
        <w:t xml:space="preserve">rozen </w:t>
      </w:r>
      <w:r w:rsidRPr="00A85045">
        <w:t>P</w:t>
      </w:r>
      <w:r w:rsidR="00A85045">
        <w:t>lasma</w:t>
      </w:r>
      <w:r w:rsidRPr="00A85045">
        <w:t>, Factor XIII Val34Leu</w:t>
      </w:r>
    </w:p>
    <w:p w14:paraId="789689DE" w14:textId="77777777" w:rsidR="0092530A" w:rsidRDefault="0092530A" w:rsidP="0092530A">
      <w:pPr>
        <w:spacing w:line="240" w:lineRule="auto"/>
      </w:pPr>
    </w:p>
    <w:p w14:paraId="4233F35F" w14:textId="77777777" w:rsidR="0092530A" w:rsidRDefault="0092530A" w:rsidP="0092530A">
      <w:pPr>
        <w:spacing w:line="240" w:lineRule="auto"/>
      </w:pPr>
    </w:p>
    <w:p w14:paraId="5E0C68BD" w14:textId="77777777" w:rsidR="0092530A" w:rsidRDefault="0092530A" w:rsidP="0092530A">
      <w:pPr>
        <w:spacing w:line="240" w:lineRule="auto"/>
      </w:pPr>
    </w:p>
    <w:p w14:paraId="1D1B03B6" w14:textId="77777777" w:rsidR="0092530A" w:rsidRDefault="0092530A" w:rsidP="0092530A">
      <w:pPr>
        <w:spacing w:line="240" w:lineRule="auto"/>
      </w:pPr>
    </w:p>
    <w:p w14:paraId="306A29EC" w14:textId="77777777" w:rsidR="0092530A" w:rsidRDefault="0092530A" w:rsidP="0092530A">
      <w:pPr>
        <w:spacing w:line="240" w:lineRule="auto"/>
      </w:pPr>
    </w:p>
    <w:p w14:paraId="73D6FD2D" w14:textId="77777777" w:rsidR="0092530A" w:rsidRDefault="0092530A" w:rsidP="0092530A">
      <w:pPr>
        <w:spacing w:line="240" w:lineRule="auto"/>
        <w:rPr>
          <w:b/>
          <w:bCs/>
        </w:rPr>
      </w:pPr>
    </w:p>
    <w:p w14:paraId="19BB9B44" w14:textId="77777777" w:rsidR="0092530A" w:rsidRDefault="0092530A" w:rsidP="0092530A">
      <w:pPr>
        <w:spacing w:line="240" w:lineRule="auto"/>
        <w:rPr>
          <w:b/>
          <w:bCs/>
        </w:rPr>
      </w:pPr>
    </w:p>
    <w:p w14:paraId="4D40332E" w14:textId="77777777" w:rsidR="0092530A" w:rsidRDefault="0092530A" w:rsidP="0092530A">
      <w:pPr>
        <w:spacing w:line="240" w:lineRule="auto"/>
        <w:rPr>
          <w:b/>
          <w:bCs/>
        </w:rPr>
      </w:pPr>
    </w:p>
    <w:p w14:paraId="32F83D62" w14:textId="77777777" w:rsidR="00A85045" w:rsidRDefault="00A85045" w:rsidP="0092530A">
      <w:pPr>
        <w:spacing w:line="240" w:lineRule="auto"/>
        <w:rPr>
          <w:b/>
          <w:bCs/>
        </w:rPr>
      </w:pPr>
    </w:p>
    <w:p w14:paraId="29C1E00F" w14:textId="77777777" w:rsidR="000B140F" w:rsidRDefault="000B140F" w:rsidP="0092530A">
      <w:pPr>
        <w:spacing w:line="240" w:lineRule="auto"/>
        <w:rPr>
          <w:b/>
          <w:bCs/>
        </w:rPr>
      </w:pPr>
    </w:p>
    <w:p w14:paraId="464E863E" w14:textId="77777777" w:rsidR="000B140F" w:rsidRDefault="000B140F" w:rsidP="0092530A">
      <w:pPr>
        <w:spacing w:line="240" w:lineRule="auto"/>
        <w:rPr>
          <w:b/>
          <w:bCs/>
        </w:rPr>
      </w:pPr>
    </w:p>
    <w:p w14:paraId="35369D68" w14:textId="77777777" w:rsidR="000B140F" w:rsidRDefault="000B140F" w:rsidP="0092530A">
      <w:pPr>
        <w:spacing w:line="240" w:lineRule="auto"/>
        <w:rPr>
          <w:b/>
          <w:bCs/>
        </w:rPr>
      </w:pPr>
    </w:p>
    <w:p w14:paraId="26976ACC" w14:textId="77777777" w:rsidR="000B140F" w:rsidRDefault="000B140F" w:rsidP="0092530A">
      <w:pPr>
        <w:spacing w:line="240" w:lineRule="auto"/>
        <w:rPr>
          <w:b/>
          <w:bCs/>
        </w:rPr>
      </w:pPr>
    </w:p>
    <w:p w14:paraId="7857B1FD" w14:textId="4FD3FA1C" w:rsidR="0092530A" w:rsidRPr="00696DEF" w:rsidRDefault="007A69C8" w:rsidP="003753AA">
      <w:pPr>
        <w:pStyle w:val="Heading1"/>
      </w:pPr>
      <w:r>
        <w:lastRenderedPageBreak/>
        <w:t>Background</w:t>
      </w:r>
    </w:p>
    <w:p w14:paraId="4717BD40" w14:textId="19FAD4D8" w:rsidR="00B454D5" w:rsidRDefault="00B454D5" w:rsidP="00D204DE">
      <w:pPr>
        <w:spacing w:line="240" w:lineRule="auto"/>
      </w:pPr>
      <w:r w:rsidRPr="00A85045">
        <w:t>Recurrent Pregnancy Loss (RPL) is defined as three or more consecutive pregnancy losses before 24 weeks of gestation, whereas on clinical grounds many clinicians consider RPL as two or more consecutive pregnancy losses</w:t>
      </w:r>
      <w:r w:rsidR="00DE2AFB">
        <w:t xml:space="preserve"> </w:t>
      </w:r>
      <w:r>
        <w:fldChar w:fldCharType="begin" w:fldLock="1"/>
      </w:r>
      <w:r w:rsidR="00C81C5D">
        <w:instrText>ADDIN CSL_CITATION {"citationItems":[{"id":"ITEM-1","itemData":{"DOI":"10.1016/S0140-6736(06)69204-0","ISSN":"01406736","PMID":"16905025","abstract":"Many human conceptions are genetically abnormal and end in miscarriage, which is the commonest complication of pregnancy. Recurrent miscarriage, the loss of three or more consecutive pregnancies, affects 1% of couples trying to conceive. It is associated with psychological morbidity, and has often proven to be frustrating for both patient and clinician. A third of women attending specialist clinics are clinically depressed, and one in five have levels of anxiety that are similar to those in psychiatric outpatient populations. Many conventional beliefs about the cause and treatment of women with recurrent miscarriage have not withstood scrutiny, but progress has been made. Research has emphasised the importance of recurrent miscarriage in the range of reproductive failure linking subfertility and late pregnancy complications and has allowed us to reject practice based on anecdotal evidence in favour of evidence-based management. © 2006 Elsevier Ltd. All rights reserved.","author":[{"dropping-particle":"","family":"Rai","given":"Raj","non-dropping-particle":"","parse-names":false,"suffix":""},{"dropping-particle":"","family":"Regan","given":"Lesley","non-dropping-particle":"","parse-names":false,"suffix":""}],"container-title":"Lancet","id":"ITEM-1","issued":{"date-parts":[["2006"]]},"title":"Recurrent miscarriage","type":"article"},"uris":["http://www.mendeley.com/documents/?uuid=1d07df59-6d72-429a-a89f-ae036052d59a","http://www.mendeley.com/documents/?uuid=645899eb-5b37-469c-972a-d1f280140cad"]}],"mendeley":{"formattedCitation":"[1]","plainTextFormattedCitation":"[1]","previouslyFormattedCitation":"[1]"},"properties":{"noteIndex":0},"schema":"https://github.com/citation-style-language/schema/raw/master/csl-citation.json"}</w:instrText>
      </w:r>
      <w:r>
        <w:fldChar w:fldCharType="separate"/>
      </w:r>
      <w:r w:rsidR="00020167" w:rsidRPr="00020167">
        <w:rPr>
          <w:noProof/>
        </w:rPr>
        <w:t>[1]</w:t>
      </w:r>
      <w:r>
        <w:fldChar w:fldCharType="end"/>
      </w:r>
      <w:r w:rsidRPr="00A85045">
        <w:t>. In addition, the European Society of Human Reproduction and Embryology (ESHRE) has published a report in 201</w:t>
      </w:r>
      <w:r>
        <w:t>8</w:t>
      </w:r>
      <w:r w:rsidRPr="00A85045">
        <w:t xml:space="preserve"> which includes all cases with two or more nonconsecutive pregnancy losses within the spectrum of RPL</w:t>
      </w:r>
      <w:r w:rsidR="00DE2AFB">
        <w:t xml:space="preserve"> </w:t>
      </w:r>
      <w:r>
        <w:fldChar w:fldCharType="begin" w:fldLock="1"/>
      </w:r>
      <w:r w:rsidR="00C81C5D">
        <w:instrText>ADDIN CSL_CITATION {"citationItems":[{"id":"ITEM-1","itemData":{"DOI":"10.1093/hropen/hoy004","ISSN":"2399-3529","abstract":"STUDY QUESTIONWhat is the recommended management of women with recurrent pregnancy loss (RPL) based on the best available evidence in the literature?SUMMARY ANSWERThe guideline development group formulated 77 recommendations answering 18 key questions on investigations and treatments for RPL, and on how care should be organized.WHAT IS KNOWN ALREADYA previous guideline for the investigation and medical treatment of recurrent miscarriage was published in 2006 and is in need of an update.STUDY DESIGN, SIZE, DURATIONThe guideline was developed according to the structured methodology for development of ESHRE guidelines. After formulation of key questions by a group of experts, literature searches and assessments were performed. Papers published up to 31 March 2017 and written in English were included. Cumulative live birth rate, live birth rate and pregnancy loss rate (or miscarriage rate) were considered the critical outcomes.PARTICIPANTS/MATERIALS, SETTING, METHODSBased on the collected evidence, recommendations were formulated and discussed until consensus was reached within the guideline group. A stakeholder review was organized after finalization of the draft. The final version was approved by the guideline group and the ESHRE Executive Committee.MAIN RESULTS AND THE ROLE OF CHANCEThe guideline provides 38 recommendations on risk factors, prevention and investigations in couples with RPL, and 39 recommendations on treatments. These include 60 evidence-based recommendations – of which 31 were formulated as strong recommendations and 29 as conditional – and 17 good practice points. The evidence supporting investigations and treatment of couples with RPL is limited and of moderate quality. Of the evidence-based recommendations, only 10 (16.3%) were supported by moderate quality evidence. The remaining recommendations were supported by low (35 recommendations: 57.4%), or very low quality evidence (16 recommendations: 26.2%). There were no recommendations based on high quality evidence. Owing to the lack of evidence-based investigations and treatments in RPL care, the guideline also clearly mentions investigations and treatments that should not be used for couples with RPL.LIMITATIONS, REASONS FOR CAUTIONSeveral investigations and treatments are offered to couples with RPL, but most of them are not well studied. For most of these investigations and treatments, a recommendation against the intervention or treatment was formulated based on insufficient eviden…","author":[{"dropping-particle":"","family":"Bender Atik","given":"Ruth","non-dropping-particle":"","parse-names":false,"suffix":""},{"dropping-particle":"","family":"Christiansen","given":"Ole Bjarne","non-dropping-particle":"","parse-names":false,"suffix":""},{"dropping-particle":"","family":"Elson","given":"Janine","non-dropping-particle":"","parse-names":false,"suffix":""},{"dropping-particle":"","family":"Kolte","given":"Astrid Marie","non-dropping-particle":"","parse-names":false,"suffix":""},{"dropping-particle":"","family":"Lewis","given":"Sheena","non-dropping-particle":"","parse-names":false,"suffix":""},{"dropping-particle":"","family":"Middeldorp","given":"Saskia","non-dropping-particle":"","parse-names":false,"suffix":""},{"dropping-particle":"","family":"Nelen","given":"Willianne","non-dropping-particle":"","parse-names":false,"suffix":""},{"dropping-particle":"","family":"Peramo","given":"Braulio","non-dropping-particle":"","parse-names":false,"suffix":""},{"dropping-particle":"","family":"Quenby","given":"Siobhan","non-dropping-particle":"","parse-names":false,"suffix":""},{"dropping-particle":"","family":"Vermeulen","given":"Nathalie","non-dropping-particle":"","parse-names":false,"suffix":""},{"dropping-particle":"","family":"Goddijn","given":"Mariëtte","non-dropping-particle":"","parse-names":false,"suffix":""}],"container-title":"Human Reproduction Open","id":"ITEM-1","issued":{"date-parts":[["2018"]]},"title":"ESHRE guideline: recurrent pregnancy loss","type":"article-journal"},"uris":["http://www.mendeley.com/documents/?uuid=b4a92a2f-089d-48b6-a051-28b9592d924b","http://www.mendeley.com/documents/?uuid=2f9045b7-85ad-4a1e-88bb-7a633cd4f533"]}],"mendeley":{"formattedCitation":"[2]","plainTextFormattedCitation":"[2]","previouslyFormattedCitation":"[2]"},"properties":{"noteIndex":0},"schema":"https://github.com/citation-style-language/schema/raw/master/csl-citation.json"}</w:instrText>
      </w:r>
      <w:r>
        <w:fldChar w:fldCharType="separate"/>
      </w:r>
      <w:r w:rsidR="00020167" w:rsidRPr="00020167">
        <w:rPr>
          <w:noProof/>
        </w:rPr>
        <w:t>[2]</w:t>
      </w:r>
      <w:r>
        <w:fldChar w:fldCharType="end"/>
      </w:r>
      <w:r w:rsidRPr="00A85045">
        <w:t>.</w:t>
      </w:r>
    </w:p>
    <w:p w14:paraId="5813FE58" w14:textId="68D59D29" w:rsidR="00DE2AFB" w:rsidRPr="00FB46C1" w:rsidRDefault="00DE2AFB" w:rsidP="006802D2">
      <w:pPr>
        <w:spacing w:line="240" w:lineRule="auto"/>
      </w:pPr>
      <w:r w:rsidRPr="00A85045">
        <w:t xml:space="preserve">Many causes of PRL have been identified including uterine anomalies, chromosomal aberrations, </w:t>
      </w:r>
      <w:proofErr w:type="spellStart"/>
      <w:r w:rsidRPr="00A85045">
        <w:t>antiphospholipid</w:t>
      </w:r>
      <w:proofErr w:type="spellEnd"/>
      <w:r w:rsidRPr="00A85045">
        <w:t xml:space="preserve"> antibodies, infections and others. However, the major cause of RPL remains</w:t>
      </w:r>
      <w:r>
        <w:t xml:space="preserve"> unidentified. Abnormalities of the coagulation system are emerging as one of the causes of RPL. Mutations in coagulation factor 2 </w:t>
      </w:r>
      <w:r>
        <w:fldChar w:fldCharType="begin" w:fldLock="1"/>
      </w:r>
      <w:r w:rsidR="00C81C5D">
        <w:instrText>ADDIN CSL_CITATION {"citationItems":[{"id":"ITEM-1","itemData":{"DOI":"10.1016/j.thromres.2014.12.001","ISSN":"18792472","PMID":"25528068","abstract":"Background: Thrombophilia is reported to be a candidate etiology of recurrent pregnancy loss (RPL). No conclusive results on the association between prothrombin G20210A mutation and RPL have been reported. Methods: We undertook a systematic review and meta-analysis of 37 case-control studies using a comprehensive electronic search on papers published by May 2014. We studied 5400 cases and 4640 controls to investigate the potential association between G20210A and RPL. In this review, we define RPL as more than 2 miscarriages. Results: A significant association was found between G20210A and RPL, with a combined odds ratio (OR) of 1.81 (95% confidence interval [CI]: 1.26-2.60). However, the risks differed in the subgroup analyses, categorized by study sites, maternal age, and type of miscarriages. The pooled OR remained significant in European studies (OR: 1.80, 95% CI: 1.35-2.41), whereas in the Middle-Eastern studies, it was not significant (OR: 2.39, 95% CI: 0.96-5.92). The risk of RPL was significantly higher in women older than 29 years (OR: 1.91, 95% CI: 1.61-6.11), and a positive relationship was only observed between prothrombin G20210A mutation and fetal loss, but not embryonic loss. There was no evidence of publication bias in any of the analyses. The sensitivity analyses showed that the findings were quite stable. Conclusion: This meta-analysis suggests that the G20210A prothrombin mutation increases the risk of RPL (fetal loss, primary RPL, or secondary RPL), particularly in Europeans and women older than 29 years. We recommend further screening in more specific groups among women.","author":[{"dropping-particle":"","family":"Gao","given":"Hui","non-dropping-particle":"","parse-names":false,"suffix":""},{"dropping-particle":"","family":"Tao","given":"Fang Biao","non-dropping-particle":"","parse-names":false,"suffix":""}],"container-title":"Thrombosis Research","id":"ITEM-1","issued":{"date-parts":[["2015"]]},"title":"Prothrombin G20210A mutation is associated with recurrent pregnancy loss: A systematic review and meta-analysis update","type":"article-journal"},"uris":["http://www.mendeley.com/documents/?uuid=8ab6b7fd-7772-4c14-aa0c-cdda09395998","http://www.mendeley.com/documents/?uuid=f868849b-1f73-4c28-af3f-7602780d76b1"]}],"mendeley":{"formattedCitation":"[3]","plainTextFormattedCitation":"[3]","previouslyFormattedCitation":"[3]"},"properties":{"noteIndex":0},"schema":"https://github.com/citation-style-language/schema/raw/master/csl-citation.json"}</w:instrText>
      </w:r>
      <w:r>
        <w:fldChar w:fldCharType="separate"/>
      </w:r>
      <w:r w:rsidR="00020167" w:rsidRPr="00020167">
        <w:rPr>
          <w:noProof/>
        </w:rPr>
        <w:t>[3]</w:t>
      </w:r>
      <w:r>
        <w:fldChar w:fldCharType="end"/>
      </w:r>
      <w:r>
        <w:t xml:space="preserve">, coagulation factor 5 Leiden </w:t>
      </w:r>
      <w:r>
        <w:fldChar w:fldCharType="begin" w:fldLock="1"/>
      </w:r>
      <w:r w:rsidR="00C81C5D">
        <w:instrText>ADDIN CSL_CITATION {"citationItems":[{"id":"ITEM-1","itemData":{"DOI":"10.1007/s00404-014-3443-x","ISSN":"14320711","PMID":"25193429","abstract":"Background: Recently, the interest has focused on the increased prevalence of thrombophilic defects in women with gestational complications.\nObjective: To explore whether women with early recurrent pregnancy loss (RPL) are at increased risk of being carriers of the Factor V Leiden (FVL) mutation compared to those who have a normal reproductive history.\nMethods: A manual and electronic literature search was undertaken to identify studies with a case–control population of women with two or more first trimester RPLs of undetermined origin and age- and ethnicity-matched control group with normal reproductive history and at least one full-term delivery. Both groups were screened for FVL mutation. A quality assessment was performed according to the pre-established validity criteria and using the Cochrane handbook guidelines for observational studies. The combinability of studies was assessed by clinical and statistical methods (Breslow–Day’s test of homogeneity). Quantitative data were abstracted with regard to the prevalence of FVL mutation in the case and control group, and 2 × 2 tables were created. The ratio comparing the odds of FVL mutation in women with early RPL with the odds of FVL mutation in women with normal reproductive outcome was calculated with its 95 % confidence interval (CI) by Mantel–Haenszel method.\nResults: Nine studies met the inclusion criteria and were selected for review. A total of 2,147 women were screened for the FVL mutation, 1,305 women with early RPL, and 842 women with no gestational complications. Women with early RPL had indeed a statistically significantly increased carrier frequency of FVL mutation, the common OR being 1.68 (95 % CI: 1.16–2.44).\nConclusion: FVL carrier state may increase the susceptibility for early RPL. Testing for FVL mutation should be considered in women with unexplained early RPL and thrombophylaxis has been suggested in women with unexplained RPL associated with FVL mutation.","author":[{"dropping-particle":"","family":"Sergi","given":"C.","non-dropping-particle":"","parse-names":false,"suffix":""},{"dropping-particle":"","family":"Jishi","given":"T.","non-dropping-particle":"Al","parse-names":false,"suffix":""},{"dropping-particle":"","family":"Walker","given":"M.","non-dropping-particle":"","parse-names":false,"suffix":""}],"container-title":"Archives of Gynecology and Obstetrics","id":"ITEM-1","issued":{"date-parts":[["2015"]]},"title":"Factor V Leiden mutation in women with early recurrent pregnancy loss: a meta-analysis and systematic review of the causal association","type":"article-journal"},"uris":["http://www.mendeley.com/documents/?uuid=2c4959bd-336c-42ca-9039-6d9d19eed4a7","http://www.mendeley.com/documents/?uuid=470bbcdc-3898-4eb4-88b2-e025da6f9221"]}],"mendeley":{"formattedCitation":"[4]","plainTextFormattedCitation":"[4]","previouslyFormattedCitation":"[4]"},"properties":{"noteIndex":0},"schema":"https://github.com/citation-style-language/schema/raw/master/csl-citation.json"}</w:instrText>
      </w:r>
      <w:r>
        <w:fldChar w:fldCharType="separate"/>
      </w:r>
      <w:r w:rsidR="00020167" w:rsidRPr="00020167">
        <w:rPr>
          <w:noProof/>
        </w:rPr>
        <w:t>[4]</w:t>
      </w:r>
      <w:r>
        <w:fldChar w:fldCharType="end"/>
      </w:r>
      <w:r>
        <w:t xml:space="preserve">, and plasminogen activator inhibitor-1 </w:t>
      </w:r>
      <w:r>
        <w:fldChar w:fldCharType="begin" w:fldLock="1"/>
      </w:r>
      <w:r w:rsidR="00C81C5D">
        <w:instrText>ADDIN CSL_CITATION {"citationItems":[{"id":"ITEM-1","itemData":{"DOI":"10.12659/MSM.892898","ISSN":"16433750","PMID":"25862335","abstract":"Background: The association between plasminogen activator inhibitor-1 (PAI-1) 4G/5G polymorphism and recurrent pregnancy loss (RPL) risk is still contradictory. We thus performed a meta-analysis. Material/Methods: Relevant studies were searched for in PubMed, Web of Science, Embase, and Cochrane Library. An odds ratio (OR) with a 95% confidence interval (CI) was used to assess the association between PAI-1 4G/5G polymorphism and RPL risk. Results: A total of 22 studies with 4306 cases and 3076 controls were included in this meta-analysis. We found that PAI-1 4G/5G polymorphism was significantly associated with an increased RPL risk (OR=1.89; 95% CI 1.34-2.67; P=0.0003). In the subgroup analysis by race, PAI-1 4G/5G polymorphism was significantly associated with an increased RPL risk in Caucasians (OR=2.23; 95% CI 1.44-3.46; P=0.0003). However, no significant association was observed in Asians (OR=1.47; 95% CI 0.84-2.59; P=0.18). Conclusions: In conclusion, this meta-analysis suggests that PAI-1 4G/5G polymorphism might be associated with RPL development in Caucasians.","author":[{"dropping-particle":"","family":"Li","given":"Xuejiao","non-dropping-particle":"","parse-names":false,"suffix":""},{"dropping-particle":"","family":"Liu","given":"Yukun","non-dropping-particle":"","parse-names":false,"suffix":""},{"dropping-particle":"","family":"Zhang","given":"Rui","non-dropping-particle":"","parse-names":false,"suffix":""},{"dropping-particle":"","family":"Tan","given":"Jianping","non-dropping-particle":"","parse-names":false,"suffix":""},{"dropping-particle":"","family":"Chen","given":"Libin","non-dropping-particle":"","parse-names":false,"suffix":""},{"dropping-particle":"","family":"Liu","given":"Yinglin","non-dropping-particle":"","parse-names":false,"suffix":""}],"container-title":"Medical Science Monitor","id":"ITEM-1","issued":{"date-parts":[["2015"]]},"title":"Meta-analysis of the association between plasminogen activator inhibitor-1 4G/5G polymorphism and recurrent pregnancy loss","type":"article-journal"},"uris":["http://www.mendeley.com/documents/?uuid=5611c02b-3007-4ac0-a213-eddbd274d4d5","http://www.mendeley.com/documents/?uuid=81475a16-02a4-4e27-ab69-f14ff05a3be3"]}],"mendeley":{"formattedCitation":"[5]","plainTextFormattedCitation":"[5]","previouslyFormattedCitation":"[5]"},"properties":{"noteIndex":0},"schema":"https://github.com/citation-style-language/schema/raw/master/csl-citation.json"}</w:instrText>
      </w:r>
      <w:r>
        <w:fldChar w:fldCharType="separate"/>
      </w:r>
      <w:r w:rsidR="00020167" w:rsidRPr="00020167">
        <w:rPr>
          <w:noProof/>
        </w:rPr>
        <w:t>[5]</w:t>
      </w:r>
      <w:r>
        <w:fldChar w:fldCharType="end"/>
      </w:r>
      <w:r>
        <w:t xml:space="preserve"> have been implicated in the etiology of RPL. Another coagulation abnormality that has been recently linked to RPL is </w:t>
      </w:r>
      <w:r w:rsidRPr="00E63723">
        <w:t xml:space="preserve">Factor XIII Val34Leu mutation </w:t>
      </w:r>
      <w:r w:rsidRPr="00E63723">
        <w:fldChar w:fldCharType="begin" w:fldLock="1"/>
      </w:r>
      <w:r w:rsidR="00C81C5D">
        <w:instrText>ADDIN CSL_CITATION {"citationItems":[{"id":"ITEM-1","itemData":{"DOI":"10.1016/J.EJOGRB.2017.06.032","ISSN":"0301-2115","abstract":"Objective Factor XIII (FXIII) plays role in stabilizing the linkage between fibrins during blood clotting and has been implicated in recurrent pregnancy loss (RPL). The relationship between the Val34Leu polymorphism in F13A1, which encodes the enzymatic subunit of FXIII, and RPL is unclear. The aim of this meta-analysis was to evaluate the association betweenF13A1 Val34Leu and the risk of RPL. Study design We performed a meta-analysis of 11 studies involving 1092 cases and 678 controls using published literature from PubMed and Embase. Results We detected an association in recessive (Val/Val vs. Val/Leu + Leu/Leu; OR = 0.71, 95% CI = 0.51–0.99, P = 0.04), and one of the two co-dominant (Val/Val vs. Val/Leu; OR = 0.71, 95% CI = 0.52–0.98, P = 0.03) models of in heritance. Subgroup analysis revealed that the F13A1 Val34Leu polymorphism was associated with RPL in Asians (Val vs. Leu; OR = 0.53, CI = 0.33–0.85, P = 0.01). However, there was no association between F13A1 Val34Leu and RPL in Europeans and South Americans. Conclusion Our meta-analysis supports an association between F13A1 Val34Leu and RPL.","author":[{"dropping-particle":"","family":"Jung","given":"Jae Hyun","non-dropping-particle":"","parse-names":false,"suffix":""},{"dropping-particle":"","family":"Kim","given":"Jae Hoon","non-dropping-particle":"","parse-names":false,"suffix":""},{"dropping-particle":"","family":"Song","given":"Gwan Gyu","non-dropping-particle":"","parse-names":false,"suffix":""},{"dropping-particle":"","family":"Choi","given":"Sung Jae","non-dropping-particle":"","parse-names":false,"suffix":""}],"container-title":"European Journal of Obstetrics &amp; Gynecology and Reproductive Biology","id":"ITEM-1","issued":{"date-parts":[["2017","8","1"]]},"page":"234-240","publisher":"Elsevier","title":"Association of the F13A1 Val34Leu polymorphism and recurrent pregnancy loss: A meta-analysis","type":"article-journal","volume":"215"},"uris":["http://www.mendeley.com/documents/?uuid=e48fac81-320e-3fd3-b878-a58356f7519d"]}],"mendeley":{"formattedCitation":"[6]","plainTextFormattedCitation":"[6]","previouslyFormattedCitation":"[6]"},"properties":{"noteIndex":0},"schema":"https://github.com/citation-style-language/schema/raw/master/csl-citation.json"}</w:instrText>
      </w:r>
      <w:r w:rsidRPr="00E63723">
        <w:fldChar w:fldCharType="separate"/>
      </w:r>
      <w:r w:rsidR="00020167" w:rsidRPr="00020167">
        <w:rPr>
          <w:noProof/>
        </w:rPr>
        <w:t>[6]</w:t>
      </w:r>
      <w:r w:rsidRPr="00E63723">
        <w:fldChar w:fldCharType="end"/>
      </w:r>
      <w:r w:rsidR="00D204DE" w:rsidRPr="00E63723">
        <w:fldChar w:fldCharType="begin" w:fldLock="1"/>
      </w:r>
      <w:r w:rsidR="00C81C5D">
        <w:instrText>ADDIN CSL_CITATION {"citationItems":[{"id":"ITEM-1","itemData":{"DOI":"10.1080/19396368.2018.1456576","abstract":"Miscarriage is the most common complication in pregnancy. Considering the importance of the problem thrombophilia in pregnant women and its association with recurrent pregnancy loss (RPL), analysis...","author":[{"dropping-particle":"","family":"Bigdeli","given":"Razieh","non-dropping-particle":"","parse-names":false,"suffix":""},{"dropping-particle":"","family":"Younesi","given":"Mohammad Reza","non-dropping-particle":"","parse-names":false,"suffix":""},{"dropping-particle":"","family":"Panahnejad","given":"Erfan","non-dropping-particle":"","parse-names":false,"suffix":""},{"dropping-particle":"","family":"Asgary","given":"Vahid","non-dropping-particle":"","parse-names":false,"suffix":""},{"dropping-particle":"","family":"Heidarzadeh","given":"Samaneh","non-dropping-particle":"","parse-names":false,"suffix":""},{"dropping-particle":"","family":"Mazaheri","given":"Hoda","non-dropping-particle":"","parse-names":false,"suffix":""},{"dropping-particle":"","family":"Aligoudarzi","given":"Samira Louni","non-dropping-particle":"","parse-names":false,"suffix":""}],"container-title":"https://doi.org/10.1080/19396368.2018.1456576","id":"ITEM-1","issue":"4","issued":{"date-parts":[["2018","7","4"]]},"page":"274-282","publisher":"Taylor &amp; Francis","title":"Association between thrombophilia gene polymorphisms and recurrent pregnancy loss risk in the Iranian population","type":"article-journal","volume":"64"},"uris":["http://www.mendeley.com/documents/?uuid=282ff3df-f8cc-3cfc-98d7-5edcb74c6b8b"]}],"mendeley":{"formattedCitation":"[7]","plainTextFormattedCitation":"[7]","previouslyFormattedCitation":"[7]"},"properties":{"noteIndex":0},"schema":"https://github.com/citation-style-language/schema/raw/master/csl-citation.json"}</w:instrText>
      </w:r>
      <w:r w:rsidR="00D204DE" w:rsidRPr="00E63723">
        <w:fldChar w:fldCharType="separate"/>
      </w:r>
      <w:r w:rsidR="00020167" w:rsidRPr="00020167">
        <w:rPr>
          <w:noProof/>
        </w:rPr>
        <w:t>[7]</w:t>
      </w:r>
      <w:r w:rsidR="00D204DE" w:rsidRPr="00E63723">
        <w:fldChar w:fldCharType="end"/>
      </w:r>
      <w:r w:rsidR="00D204DE" w:rsidRPr="00E63723">
        <w:fldChar w:fldCharType="begin" w:fldLock="1"/>
      </w:r>
      <w:r w:rsidR="00C81C5D">
        <w:instrText>ADDIN CSL_CITATION {"citationItems":[{"id":"ITEM-1","itemData":{"DOI":"10.1002/JCLA.21626","abstract":"Background: We have already described a significantly elevated overall risk for recurrent pregnancy loss (RPL) in women carrying the coagulation factor XIII (FXIII) Val34Leu and/or the plasminogen activator inhibitor-1 (PAI-1) 4G/5G polymorphism assuming that these polymorphisms contribute synergistically to RPL because of impaired hypofibrinolysis. Recent studies on FXIII indicate that the impact of the FXIII 34Leu genotype on fibrin structure and fibrinolysis is affected by fibrinogen concentration. Therefore, we reinvestigated the association between fibrinogen concentrations and FXIII Val34Leu with early RPL. Materials and Methods: In this case-control study, we enrolled 49 women with a history of two consecutive or three to six nonconsecutive pregnancy losses between the 8th and 12th week of gestation and 48 healthy controls. The risk for RPL in carriers of FXIII 34Leu at fibrinogen levels above or below the median and first tertile of controls was evaluated. Results: In carriers of the 34Leu allele, fibrinogen levels below the median (i.e., ≤300 mg/dl) and the first tertile (i.e., ≤284 mg/dl) of controls were associated with an increased risk for RPL [(2.9 (1.1-7.7), 3.9(1.0-15.0)]. Conclusions: The FXIII Val34Leu polymorphism may be associated with the development of early RPL in association with fibrinogen concentrations. At fibrinogen levels in the low normal range, FXIII 34Leu may modify fibrin structure toward an increased resistance to fibrinolysis. © 2013 Wiley Periodicals, Inc.","author":[{"dropping-particle":"","family":"Dossenbach-Glaninger","given":"Astrid","non-dropping-particle":"","parse-names":false,"suffix":""},{"dropping-particle":"","family":"Trotsenburg","given":"Mick","non-dropping-particle":"van","parse-names":false,"suffix":""},{"dropping-particle":"","family":"Oberkanins","given":"Christian","non-dropping-particle":"","parse-names":false,"suffix":""},{"dropping-particle":"","family":"Atamaniuk","given":"Johanna","non-dropping-particle":"","parse-names":false,"suffix":""}],"container-title":"Journal of Clinical Laboratory Analysis","id":"ITEM-1","issue":"6","issued":{"date-parts":[["2013","11"]]},"page":"444-449","title":"Risk for early pregnancy loss by factor XIII Val34Leu: The impact of fibrinogen concentration","type":"article-journal","volume":"27"},"uris":["http://www.mendeley.com/documents/?uuid=7aaa4720-2da7-30f3-a33e-e782958a8593"]}],"mendeley":{"formattedCitation":"[8]","plainTextFormattedCitation":"[8]","previouslyFormattedCitation":"[8]"},"properties":{"noteIndex":0},"schema":"https://github.com/citation-style-language/schema/raw/master/csl-citation.json"}</w:instrText>
      </w:r>
      <w:r w:rsidR="00D204DE" w:rsidRPr="00E63723">
        <w:fldChar w:fldCharType="separate"/>
      </w:r>
      <w:r w:rsidR="00020167" w:rsidRPr="00020167">
        <w:rPr>
          <w:noProof/>
        </w:rPr>
        <w:t>[8]</w:t>
      </w:r>
      <w:r w:rsidR="00D204DE" w:rsidRPr="00E63723">
        <w:fldChar w:fldCharType="end"/>
      </w:r>
      <w:r w:rsidRPr="00E63723">
        <w:t>.</w:t>
      </w:r>
    </w:p>
    <w:p w14:paraId="121CF8CC" w14:textId="6AFF6D74" w:rsidR="00EB484C" w:rsidRDefault="00EB484C" w:rsidP="00D204DE">
      <w:pPr>
        <w:spacing w:line="240" w:lineRule="auto"/>
      </w:pPr>
      <w:r>
        <w:t xml:space="preserve">Factor XIII is a fibrin stabilizing factor that consists of hetero-tetramer of two alpha and two beta subunits, which, when activated, form fibrin cross-linkage that forms the blood clots </w:t>
      </w:r>
      <w:r>
        <w:fldChar w:fldCharType="begin" w:fldLock="1"/>
      </w:r>
      <w:r w:rsidR="00C81C5D">
        <w:instrText>ADDIN CSL_CITATION {"citationItems":[{"id":"ITEM-1","itemData":{"DOI":"10.1182/blood.v96.3.988","ISSN":"00064971","PMID":"10910914","abstract":"Factor XIII on activation by thrombin cross-links fibrin. A common polymorphism Val to Leu at position 34 in the FXIII A subunit is under investigation as a risk determinant of thrombosis. Because Va134Leu is close to the thrombin cleavage site, the hypothesis that it would alter the function of FXIII was tested. Analysis of FXIII subunit proteolysis by thrombin using sodium dodecyl sulfate-polyacrylamide gel electrophoresis and high-performance liquid chromatography showed that FXIII 34Leu was cleaved by thrombin more rapidly and by lower doses than 34Val. Mass spectrometry of isolated activation peptides confirmed the predicted single methyl group difference and demonstrated that the thrombin cleavage site is unaltered by Val34Leu. Kinetic analysis of activation peptide release demonstrated that the catalytic efficiency (k(cat)/K(m)) of thrombin was 0.5 for FXIII 34Leu and 0.2 (μmol/L)-1 x sec-1 for 34Val. Presence of fibrin increased the catalytic efficiency to 4.8 and 2.2 (μmol/L)-1 x sec-1, respectively.. Although the 34Leu peptide was released at a similar rate as fibrinopeptide A, the 34Val peptide was released more slowly than fibrinopeptide A but more quickly than fibrinopeptide B generation. Cross-linking of γ- and α-chains appeared earlier when fibrin was incubated with FXIII 34Leu than with 34Val. Fully activated 34Leu and 34Val FXIII showed similar cross-linking activity. Analysis of fibrin clots prepared using plasma from FXIII 34Leu subjects by turbidity and permeability measurements showed reduced fiber mass/length ratio and porosity compared to 34Val. The structural differences were confirmed by electron microscopy. These resuits demonstrate that Val34Leu accelerates activation of FXIII by thrombin and consequently affects the structure of the cross-linked fibrin clot. (C) 2000 by The American Society of Hematology.","author":[{"dropping-particle":"","family":"Ariens","given":"R. A.S.","non-dropping-particle":"","parse-names":false,"suffix":""},{"dropping-particle":"","family":"Philippou","given":"H.","non-dropping-particle":"","parse-names":false,"suffix":""},{"dropping-particle":"","family":"Nagaswami","given":"C.","non-dropping-particle":"","parse-names":false,"suffix":""},{"dropping-particle":"","family":"Weisel","given":"J. W.","non-dropping-particle":"","parse-names":false,"suffix":""},{"dropping-particle":"","family":"Lane","given":"D. A.","non-dropping-particle":"","parse-names":false,"suffix":""},{"dropping-particle":"","family":"Grant","given":"P. J.","non-dropping-particle":"","parse-names":false,"suffix":""}],"container-title":"Blood","id":"ITEM-1","issued":{"date-parts":[["2000"]]},"title":"The factor XIII V34L polymorphism accelerates thrombin activation of factor XIII affects cross-linked fibrin structure","type":"article-journal"},"uris":["http://www.mendeley.com/documents/?uuid=131304b3-4783-41e8-9bf3-336551e25b90","http://www.mendeley.com/documents/?uuid=bbbd1146-cf79-42ab-a2df-83548125e1e7"]},{"id":"ITEM-2","itemData":{"DOI":"10.1182/blood.V100.3.743","ISSN":"00064971","PMID":"12130481","abstract":"Factor XIII and fibrinogen are unusual among clotting factors in that neither is a serine protease. Fibrin is the main protein constituent of the blood clot, which is stabilized by factor XIIIa through an amide or isopeptide bond that ligates adjacent fibrin monomers. Many of the structural and functional features of factor XIII and fibrin(ogen) have been elucidated by protein and gene analysis, site-directed mutagenesis, and x-ray crystallography. However, some of the molecular aspects involved in the complex processes of insoluble fibrin formation in vivo and in vitro remain unresolved. The findings of a relationship between fibrinogen, factor XIII, and cardiovascular or other thrombotic disorders have focused much attention on these 2 proteins. Of particular interest are associations between common variations in the genes of factor XIII and altered risk profiles for thrombosis. Although there is much debate regarding these observations, the implications for our understanding of clot formation and therapeutic intervention may be of major importance. In this review, we have summarized recent findings on the structure and function of factor XIII. This is followed by a review of the effects of genetic polymorphisms on protein structure/function and their relationship to disease. © 2002 by The American Society of Hematology.","author":[{"dropping-particle":"","family":"Ariëns","given":"Robert A.S.","non-dropping-particle":"","parse-names":false,"suffix":""},{"dropping-particle":"","family":"Lai","given":"Thung Shenq","non-dropping-particle":"","parse-names":false,"suffix":""},{"dropping-particle":"","family":"Weisel","given":"John W.","non-dropping-particle":"","parse-names":false,"suffix":""},{"dropping-particle":"","family":"Greenberg","given":"Charles S.","non-dropping-particle":"","parse-names":false,"suffix":""},{"dropping-particle":"","family":"Grant","given":"Peter J.","non-dropping-particle":"","parse-names":false,"suffix":""}],"container-title":"Blood","id":"ITEM-2","issued":{"date-parts":[["2002"]]},"title":"Role of factor XIII in fibrin clot formation and effects of genetic polymorphisms","type":"article"},"uris":["http://www.mendeley.com/documents/?uuid=41b9136a-8eb0-43c5-8384-c1ad79e34794","http://www.mendeley.com/documents/?uuid=fa09d0b1-ddfa-4d98-91ef-58ea838cc10a"]}],"mendeley":{"formattedCitation":"[9,10]","plainTextFormattedCitation":"[9,10]","previouslyFormattedCitation":"[9,10]"},"properties":{"noteIndex":0},"schema":"https://github.com/citation-style-language/schema/raw/master/csl-citation.json"}</w:instrText>
      </w:r>
      <w:r>
        <w:fldChar w:fldCharType="separate"/>
      </w:r>
      <w:r w:rsidR="00020167" w:rsidRPr="00020167">
        <w:rPr>
          <w:noProof/>
        </w:rPr>
        <w:t>[9,10]</w:t>
      </w:r>
      <w:r>
        <w:fldChar w:fldCharType="end"/>
      </w:r>
      <w:r>
        <w:t xml:space="preserve">. Five common polymorphisms in A-subunit have been studied by investigators. </w:t>
      </w:r>
      <w:r w:rsidRPr="00781A53">
        <w:t>Factor XIII Val34Leu is</w:t>
      </w:r>
      <w:r>
        <w:t xml:space="preserve"> </w:t>
      </w:r>
      <w:r w:rsidRPr="00781A53">
        <w:t xml:space="preserve">one of the </w:t>
      </w:r>
      <w:r w:rsidR="0092530A" w:rsidRPr="00781A53">
        <w:t xml:space="preserve">common coding polymorphisms </w:t>
      </w:r>
      <w:r w:rsidR="009C371D">
        <w:t>which</w:t>
      </w:r>
      <w:r w:rsidR="0092530A" w:rsidRPr="00781A53">
        <w:t xml:space="preserve"> occurs</w:t>
      </w:r>
      <w:r w:rsidR="0092530A">
        <w:t xml:space="preserve"> </w:t>
      </w:r>
      <w:r w:rsidR="0092530A" w:rsidRPr="00781A53">
        <w:t xml:space="preserve">in codon 34 of the factor XIII A-subunit replacing </w:t>
      </w:r>
      <w:proofErr w:type="spellStart"/>
      <w:r w:rsidR="0092530A" w:rsidRPr="00781A53">
        <w:t>valine</w:t>
      </w:r>
      <w:proofErr w:type="spellEnd"/>
      <w:r w:rsidR="0092530A" w:rsidRPr="00781A53">
        <w:t xml:space="preserve"> with </w:t>
      </w:r>
      <w:proofErr w:type="spellStart"/>
      <w:r w:rsidR="0092530A" w:rsidRPr="00781A53">
        <w:t>leucine</w:t>
      </w:r>
      <w:proofErr w:type="spellEnd"/>
      <w:r w:rsidR="0092530A" w:rsidRPr="00781A53">
        <w:t xml:space="preserve"> as a result of C</w:t>
      </w:r>
      <w:r w:rsidR="0092530A" w:rsidRPr="00781A53">
        <w:rPr>
          <w:rFonts w:hint="cs"/>
          <w:rtl/>
        </w:rPr>
        <w:t>&lt;</w:t>
      </w:r>
      <w:r w:rsidR="0092530A" w:rsidRPr="00781A53">
        <w:t xml:space="preserve">G transition. This transition </w:t>
      </w:r>
      <w:r w:rsidR="00552A9C">
        <w:t>does</w:t>
      </w:r>
      <w:r w:rsidR="00B73FFB" w:rsidRPr="00781A53">
        <w:t xml:space="preserve"> </w:t>
      </w:r>
      <w:r w:rsidR="0092530A" w:rsidRPr="00781A53">
        <w:t>not ultimately lead to factor deficiency but instead result</w:t>
      </w:r>
      <w:r w:rsidR="009C371D">
        <w:t>s</w:t>
      </w:r>
      <w:r w:rsidR="0092530A" w:rsidRPr="00781A53">
        <w:t xml:space="preserve"> in Factor XIII dysfunction. That means that</w:t>
      </w:r>
      <w:r w:rsidR="0092530A">
        <w:t xml:space="preserve"> </w:t>
      </w:r>
      <w:r w:rsidR="0092530A" w:rsidRPr="00781A53">
        <w:t xml:space="preserve">fibrin clots formed in the presence of Leu34 factor XIII have </w:t>
      </w:r>
      <w:r w:rsidR="0092530A">
        <w:t>friable fiber formation</w:t>
      </w:r>
      <w:r w:rsidR="0092530A" w:rsidRPr="00781A53">
        <w:t xml:space="preserve">, </w:t>
      </w:r>
      <w:r w:rsidR="0092530A">
        <w:t>decreased space between fibrin strands</w:t>
      </w:r>
      <w:r w:rsidR="0092530A" w:rsidRPr="00781A53">
        <w:t xml:space="preserve">, and altered permeation characteristics when compared with fibrin </w:t>
      </w:r>
      <w:r w:rsidR="0092530A">
        <w:t>meshwork</w:t>
      </w:r>
      <w:r w:rsidR="0092530A" w:rsidRPr="00781A53">
        <w:t xml:space="preserve"> formed in the presence of the Val34 </w:t>
      </w:r>
      <w:r w:rsidRPr="00781A53">
        <w:t>variant</w:t>
      </w:r>
      <w:r>
        <w:t xml:space="preserve"> </w:t>
      </w:r>
      <w:r>
        <w:fldChar w:fldCharType="begin" w:fldLock="1"/>
      </w:r>
      <w:r w:rsidR="00C81C5D">
        <w:instrText>ADDIN CSL_CITATION {"citationItems":[{"id":"ITEM-1","itemData":{"DOI":"10.1182/blood.v96.7.2479.h8002479_2479_2486","ISSN":"00064971","PMID":"11001900","abstract":"Val34Leu polymorphism of the A subunit of coagulation factor XIII (FXIII-A) is located in the activation peptide (AP) just 3 amino acids away from the thrombin cleavage site. This mutation has been associated with a protective effect against occlusive arterial diseases and venous thrombosis; however, its biochemical consequences have not been explored. In the current study it was demonstrated that the intracellular stability and the plasma concentration of FXIII of different Val34Leu genotypes are identical, which suggests that there is no difference in the rate of synthesis and externalization of wild-type and mutant FXIII-A. In contrast, the release of AP by thrombin from the Leu34 allele proceeded significantly faster than from its wild-type Val34 counterpart. By molecular modeling larger interaction energy was calculated between the Leu34 variant and the respective domains of thrombin than between the Val34 variant and thrombin, in agreement with these findings, the activation of mutant plasma FXIII by thrombin was faster and required less thrombin than that of the wild-type variant. Full thrombin activation of purifled plasma FXIII of different genotypes, however, resulted in identical specific transglutaminase activities. Similarly, the mean specific FXIII activity in the plasma was the same in the groups with wild-type, heterozygous, and homozygous variants. Faster activation of the Leu34 allele hardly could be associated with its presumed protective effect against venous thrombosis. No such protective effect was observed in a large group of patients with familial thrombophilia. (C) 2000 by The American Society of Hematology.","author":[{"dropping-particle":"","family":"Balogh","given":"I.","non-dropping-particle":"","parse-names":false,"suffix":""},{"dropping-particle":"","family":"Szoke","given":"G.","non-dropping-particle":"","parse-names":false,"suffix":""},{"dropping-particle":"","family":"Karpati","given":"L.","non-dropping-particle":"","parse-names":false,"suffix":""},{"dropping-particle":"","family":"Wartiovaara","given":"U.","non-dropping-particle":"","parse-names":false,"suffix":""},{"dropping-particle":"","family":"Katona","given":"E.","non-dropping-particle":"","parse-names":false,"suffix":""},{"dropping-particle":"","family":"Komaromi","given":"I.","non-dropping-particle":"","parse-names":false,"suffix":""},{"dropping-particle":"","family":"Haramura","given":"G.","non-dropping-particle":"","parse-names":false,"suffix":""},{"dropping-particle":"","family":"Pfliegler","given":"G.","non-dropping-particle":"","parse-names":false,"suffix":""},{"dropping-particle":"","family":"Mikkola","given":"H.","non-dropping-particle":"","parse-names":false,"suffix":""},{"dropping-particle":"","family":"Muszbek","given":"L.","non-dropping-particle":"","parse-names":false,"suffix":""}],"container-title":"Blood","id":"ITEM-1","issued":{"date-parts":[["2000"]]},"title":"Val34Leu polymorphism of plasma factor XIII: Biochemistry and epidemiology in familial thrombophilia","type":"article-journal"},"uris":["http://www.mendeley.com/documents/?uuid=867f1f03-4721-47d9-8998-c417c9102621","http://www.mendeley.com/documents/?uuid=ecb8a4c9-4ee1-4e35-8419-9b549e0356a5"]},{"id":"ITEM-2","itemData":{"DOI":"10.1182/blood.v96.3.988","ISSN":"00064971","PMID":"10910914","abstract":"Factor XIII on activation by thrombin cross-links fibrin. A common polymorphism Val to Leu at position 34 in the FXIII A subunit is under investigation as a risk determinant of thrombosis. Because Va134Leu is close to the thrombin cleavage site, the hypothesis that it would alter the function of FXIII was tested. Analysis of FXIII subunit proteolysis by thrombin using sodium dodecyl sulfate-polyacrylamide gel electrophoresis and high-performance liquid chromatography showed that FXIII 34Leu was cleaved by thrombin more rapidly and by lower doses than 34Val. Mass spectrometry of isolated activation peptides confirmed the predicted single methyl group difference and demonstrated that the thrombin cleavage site is unaltered by Val34Leu. Kinetic analysis of activation peptide release demonstrated that the catalytic efficiency (k(cat)/K(m)) of thrombin was 0.5 for FXIII 34Leu and 0.2 (μmol/L)-1 x sec-1 for 34Val. Presence of fibrin increased the catalytic efficiency to 4.8 and 2.2 (μmol/L)-1 x sec-1, respectively.. Although the 34Leu peptide was released at a similar rate as fibrinopeptide A, the 34Val peptide was released more slowly than fibrinopeptide A but more quickly than fibrinopeptide B generation. Cross-linking of γ- and α-chains appeared earlier when fibrin was incubated with FXIII 34Leu than with 34Val. Fully activated 34Leu and 34Val FXIII showed similar cross-linking activity. Analysis of fibrin clots prepared using plasma from FXIII 34Leu subjects by turbidity and permeability measurements showed reduced fiber mass/length ratio and porosity compared to 34Val. The structural differences were confirmed by electron microscopy. These resuits demonstrate that Val34Leu accelerates activation of FXIII by thrombin and consequently affects the structure of the cross-linked fibrin clot. (C) 2000 by The American Society of Hematology.","author":[{"dropping-particle":"","family":"Ariens","given":"R. A.S.","non-dropping-particle":"","parse-names":false,"suffix":""},{"dropping-particle":"","family":"Philippou","given":"H.","non-dropping-particle":"","parse-names":false,"suffix":""},{"dropping-particle":"","family":"Nagaswami","given":"C.","non-dropping-particle":"","parse-names":false,"suffix":""},{"dropping-particle":"","family":"Weisel","given":"J. W.","non-dropping-particle":"","parse-names":false,"suffix":""},{"dropping-particle":"","family":"Lane","given":"D. A.","non-dropping-particle":"","parse-names":false,"suffix":""},{"dropping-particle":"","family":"Grant","given":"P. J.","non-dropping-particle":"","parse-names":false,"suffix":""}],"container-title":"Blood","id":"ITEM-2","issued":{"date-parts":[["2000"]]},"title":"The factor XIII V34L polymorphism accelerates thrombin activation of factor XIII affects cross-linked fibrin structure","type":"article-journal"},"uris":["http://www.mendeley.com/documents/?uuid=bbbd1146-cf79-42ab-a2df-83548125e1e7","http://www.mendeley.com/documents/?uuid=131304b3-4783-41e8-9bf3-336551e25b90"]},{"id":"ITEM-3","itemData":{"DOI":"10.1182/blood.V100.3.743","ISSN":"00064971","PMID":"12130481","abstract":"Factor XIII and fibrinogen are unusual among clotting factors in that neither is a serine protease. Fibrin is the main protein constituent of the blood clot, which is stabilized by factor XIIIa through an amide or isopeptide bond that ligates adjacent fibrin monomers. Many of the structural and functional features of factor XIII and fibrin(ogen) have been elucidated by protein and gene analysis, site-directed mutagenesis, and x-ray crystallography. However, some of the molecular aspects involved in the complex processes of insoluble fibrin formation in vivo and in vitro remain unresolved. The findings of a relationship between fibrinogen, factor XIII, and cardiovascular or other thrombotic disorders have focused much attention on these 2 proteins. Of particular interest are associations between common variations in the genes of factor XIII and altered risk profiles for thrombosis. Although there is much debate regarding these observations, the implications for our understanding of clot formation and therapeutic intervention may be of major importance. In this review, we have summarized recent findings on the structure and function of factor XIII. This is followed by a review of the effects of genetic polymorphisms on protein structure/function and their relationship to disease. © 2002 by The American Society of Hematology.","author":[{"dropping-particle":"","family":"Ariëns","given":"Robert A.S.","non-dropping-particle":"","parse-names":false,"suffix":""},{"dropping-particle":"","family":"Lai","given":"Thung Shenq","non-dropping-particle":"","parse-names":false,"suffix":""},{"dropping-particle":"","family":"Weisel","given":"John W.","non-dropping-particle":"","parse-names":false,"suffix":""},{"dropping-particle":"","family":"Greenberg","given":"Charles S.","non-dropping-particle":"","parse-names":false,"suffix":""},{"dropping-particle":"","family":"Grant","given":"Peter J.","non-dropping-particle":"","parse-names":false,"suffix":""}],"container-title":"Blood","id":"ITEM-3","issued":{"date-parts":[["2002"]]},"title":"Role of factor XIII in fibrin clot formation and effects of genetic polymorphisms","type":"article"},"uris":["http://www.mendeley.com/documents/?uuid=fa09d0b1-ddfa-4d98-91ef-58ea838cc10a","http://www.mendeley.com/documents/?uuid=41b9136a-8eb0-43c5-8384-c1ad79e34794","http://www.mendeley.com/documents/?uuid=6c358308-50a3-4873-ad79-39d7eba0cea9"]}],"mendeley":{"formattedCitation":"[9–11]","plainTextFormattedCitation":"[9–11]","previouslyFormattedCitation":"[9–11]"},"properties":{"noteIndex":0},"schema":"https://github.com/citation-style-language/schema/raw/master/csl-citation.json"}</w:instrText>
      </w:r>
      <w:r>
        <w:fldChar w:fldCharType="separate"/>
      </w:r>
      <w:r w:rsidR="00020167" w:rsidRPr="00020167">
        <w:rPr>
          <w:noProof/>
        </w:rPr>
        <w:t>[9–11]</w:t>
      </w:r>
      <w:r>
        <w:fldChar w:fldCharType="end"/>
      </w:r>
      <w:r>
        <w:t>.</w:t>
      </w:r>
    </w:p>
    <w:p w14:paraId="53159940" w14:textId="1FDB5D9E" w:rsidR="00B73FFB" w:rsidRDefault="0092530A" w:rsidP="00D204DE">
      <w:pPr>
        <w:spacing w:line="240" w:lineRule="auto"/>
      </w:pPr>
      <w:r>
        <w:t xml:space="preserve">A functional balance between coagulation and fibrinolysis is crucial for placental formation and trophoblastic invasion. </w:t>
      </w:r>
      <w:r w:rsidR="009C371D">
        <w:t>I</w:t>
      </w:r>
      <w:r>
        <w:t>mpaired fibrinolysis with looser fibrin structure could lead to placental dysfunction</w:t>
      </w:r>
      <w:r w:rsidR="00B73FFB">
        <w:t xml:space="preserve">, </w:t>
      </w:r>
      <w:r w:rsidR="00B863D1">
        <w:t>thus causing</w:t>
      </w:r>
      <w:r w:rsidRPr="00F438B4">
        <w:t xml:space="preserve"> inadequ</w:t>
      </w:r>
      <w:r>
        <w:t>ate trophoblastic invasion and</w:t>
      </w:r>
      <w:r w:rsidRPr="00F438B4">
        <w:t xml:space="preserve"> disturbed deposition of fibrin in the early placental circulation</w:t>
      </w:r>
      <w:r w:rsidRPr="00EA44F5">
        <w:t xml:space="preserve">. This, in turn, may lead to RPL for patients who are homozygous Factor XIII Val34Leu </w:t>
      </w:r>
      <w:r w:rsidR="00A67E94" w:rsidRPr="00EA44F5">
        <w:t xml:space="preserve">mutation </w:t>
      </w:r>
      <w:r w:rsidR="00A67E94" w:rsidRPr="00EA44F5">
        <w:fldChar w:fldCharType="begin" w:fldLock="1"/>
      </w:r>
      <w:r w:rsidR="00C81C5D">
        <w:instrText>ADDIN CSL_CITATION {"citationItems":[{"id":"ITEM-1","itemData":{"DOI":"10.1002/JCLA.21626","abstract":"Background: We have already described a significantly elevated overall risk for recurrent pregnancy loss (RPL) in women carrying the coagulation factor XIII (FXIII) Val34Leu and/or the plasminogen activator inhibitor-1 (PAI-1) 4G/5G polymorphism assuming that these polymorphisms contribute synergistically to RPL because of impaired hypofibrinolysis. Recent studies on FXIII indicate that the impact of the FXIII 34Leu genotype on fibrin structure and fibrinolysis is affected by fibrinogen concentration. Therefore, we reinvestigated the association between fibrinogen concentrations and FXIII Val34Leu with early RPL. Materials and Methods: In this case-control study, we enrolled 49 women with a history of two consecutive or three to six nonconsecutive pregnancy losses between the 8th and 12th week of gestation and 48 healthy controls. The risk for RPL in carriers of FXIII 34Leu at fibrinogen levels above or below the median and first tertile of controls was evaluated. Results: In carriers of the 34Leu allele, fibrinogen levels below the median (i.e., ≤300 mg/dl) and the first tertile (i.e., ≤284 mg/dl) of controls were associated with an increased risk for RPL [(2.9 (1.1-7.7), 3.9(1.0-15.0)]. Conclusions: The FXIII Val34Leu polymorphism may be associated with the development of early RPL in association with fibrinogen concentrations. At fibrinogen levels in the low normal range, FXIII 34Leu may modify fibrin structure toward an increased resistance to fibrinolysis. © 2013 Wiley Periodicals, Inc.","author":[{"dropping-particle":"","family":"Dossenbach-Glaninger","given":"Astrid","non-dropping-particle":"","parse-names":false,"suffix":""},{"dropping-particle":"","family":"Trotsenburg","given":"Mick","non-dropping-particle":"van","parse-names":false,"suffix":""},{"dropping-particle":"","family":"Oberkanins","given":"Christian","non-dropping-particle":"","parse-names":false,"suffix":""},{"dropping-particle":"","family":"Atamaniuk","given":"Johanna","non-dropping-particle":"","parse-names":false,"suffix":""}],"container-title":"Journal of Clinical Laboratory Analysis","id":"ITEM-1","issue":"6","issued":{"date-parts":[["2013","11"]]},"page":"444-449","title":"Risk for early pregnancy loss by factor XIII Val34Leu: The impact of fibrinogen concentration","type":"article-journal","volume":"27"},"uris":["http://www.mendeley.com/documents/?uuid=7aaa4720-2da7-30f3-a33e-e782958a8593"]},{"id":"ITEM-2","itemData":{"DOI":"10.1007/s11515-016-1419-x","ISSN":"16747992","abstract":"BACKGROUND: Recurrent pregnancy loss (RPL) is a heterogeneous condition and thrombophilias have been considered as a probable cause. OBJECTIVE: The aim of this study was to investigate the prevalence of the coagulation factor XIII Val34Leu polymorphism among women with unexplained RPL. METHODS: A total of 140 women with a history of unexplained RPL and 100 age-matched healthy fertile women were recruited. The presence of FXIII Val34Leu polymorphism among the cases and controls was investigated using PCR-RFLP method. RESULTS: Genotype analyses of the subjects revealed that the patients had a significantly higher prevalence of V/L and L/L than the controls (P&lt;0.05): 33.5% vs. 15%, and 9.2% vs. 2%, respectively. CONCLUSION: These results indicate a significant association between FXIII Val34Leu polymorphism and unexplained RPL in the Iranian patient.","author":[{"dropping-particle":"","family":"Sajjadi","given":"Seyed Mehdi","non-dropping-particle":"","parse-names":false,"suffix":""},{"dropping-particle":"","family":"Khosravi","given":"Abbas","non-dropping-particle":"","parse-names":false,"suffix":""},{"dropping-particle":"","family":"Pakravesh","given":"Jalil","non-dropping-particle":"","parse-names":false,"suffix":""},{"dropping-particle":"","family":"Soheili","given":"Zahra soheila","non-dropping-particle":"","parse-names":false,"suffix":""},{"dropping-particle":"","family":"Samiei","given":"Shahram","non-dropping-particle":"","parse-names":false,"suffix":""},{"dropping-particle":"","family":"Mohammadi","given":"Saeed","non-dropping-particle":"","parse-names":false,"suffix":""},{"dropping-particle":"","family":"Jalali far","given":"Mohammad Ali","non-dropping-particle":"","parse-names":false,"suffix":""}],"container-title":"Frontiers in Biology","id":"ITEM-2","issued":{"date-parts":[["2016"]]},"title":"Factor XIII Val34Leu polymorphism and risk of recurrent pregnancy loss in Iranian population: a case control study","type":"article-journal"},"uris":["http://www.mendeley.com/documents/?uuid=e0ded791-3c55-4210-9b93-2a26fda9bc19","http://www.mendeley.com/documents/?uuid=bab75a14-9fe1-45c3-b8b9-0ed99e6d26ed"]}],"mendeley":{"formattedCitation":"[8,12]","plainTextFormattedCitation":"[8,12]","previouslyFormattedCitation":"[8,12]"},"properties":{"noteIndex":0},"schema":"https://github.com/citation-style-language/schema/raw/master/csl-citation.json"}</w:instrText>
      </w:r>
      <w:r w:rsidR="00A67E94" w:rsidRPr="00EA44F5">
        <w:fldChar w:fldCharType="separate"/>
      </w:r>
      <w:r w:rsidR="00020167" w:rsidRPr="00EA44F5">
        <w:rPr>
          <w:noProof/>
        </w:rPr>
        <w:t>[8,12]</w:t>
      </w:r>
      <w:r w:rsidR="00A67E94" w:rsidRPr="00EA44F5">
        <w:fldChar w:fldCharType="end"/>
      </w:r>
      <w:r w:rsidRPr="00EA44F5">
        <w:t>.</w:t>
      </w:r>
      <w:r>
        <w:t xml:space="preserve"> </w:t>
      </w:r>
    </w:p>
    <w:p w14:paraId="7EA51E96" w14:textId="09E4F2A9" w:rsidR="0092530A" w:rsidRDefault="0092530A" w:rsidP="00D204DE">
      <w:pPr>
        <w:spacing w:line="240" w:lineRule="auto"/>
      </w:pPr>
      <w:r>
        <w:t xml:space="preserve">Controversial findings were published regarding the association between RPL and </w:t>
      </w:r>
      <w:r w:rsidRPr="00781A53">
        <w:t>Factor XIII Val34Leu</w:t>
      </w:r>
      <w:r>
        <w:t xml:space="preserve"> variant.</w:t>
      </w:r>
      <w:r w:rsidR="001A06F0">
        <w:t xml:space="preserve"> </w:t>
      </w:r>
      <w:r w:rsidR="001A06F0" w:rsidRPr="001A06F0">
        <w:rPr>
          <w:highlight w:val="yellow"/>
        </w:rPr>
        <w:t>Incidence</w:t>
      </w:r>
      <w:r w:rsidR="001A06F0">
        <w:t xml:space="preserve"> </w:t>
      </w:r>
      <w:r w:rsidR="00E12A71">
        <w:t>…</w:t>
      </w:r>
      <w:bookmarkStart w:id="0" w:name="_GoBack"/>
      <w:bookmarkEnd w:id="0"/>
      <w:r>
        <w:t xml:space="preserve"> FXIII Val34Leu polymorphism </w:t>
      </w:r>
      <w:r w:rsidR="00AD079C">
        <w:t xml:space="preserve">was suggested to be implicated in </w:t>
      </w:r>
      <w:r>
        <w:t xml:space="preserve">venous thromboembolism (VTE), coronary artery disease (CAD) and Ischemic </w:t>
      </w:r>
      <w:r w:rsidR="00C011C5">
        <w:t xml:space="preserve">stroke </w:t>
      </w:r>
      <w:r w:rsidR="00C011C5">
        <w:fldChar w:fldCharType="begin" w:fldLock="1"/>
      </w:r>
      <w:r w:rsidR="00C81C5D">
        <w:instrText>ADDIN CSL_CITATION {"citationItems":[{"id":"ITEM-1","itemData":{"DOI":"10.1002/JCLA.21626","abstract":"Background: We have already described a significantly elevated overall risk for recurrent pregnancy loss (RPL) in women carrying the coagulation factor XIII (FXIII) Val34Leu and/or the plasminogen activator inhibitor-1 (PAI-1) 4G/5G polymorphism assuming that these polymorphisms contribute synergistically to RPL because of impaired hypofibrinolysis. Recent studies on FXIII indicate that the impact of the FXIII 34Leu genotype on fibrin structure and fibrinolysis is affected by fibrinogen concentration. Therefore, we reinvestigated the association between fibrinogen concentrations and FXIII Val34Leu with early RPL. Materials and Methods: In this case-control study, we enrolled 49 women with a history of two consecutive or three to six nonconsecutive pregnancy losses between the 8th and 12th week of gestation and 48 healthy controls. The risk for RPL in carriers of FXIII 34Leu at fibrinogen levels above or below the median and first tertile of controls was evaluated. Results: In carriers of the 34Leu allele, fibrinogen levels below the median (i.e., ≤300 mg/dl) and the first tertile (i.e., ≤284 mg/dl) of controls were associated with an increased risk for RPL [(2.9 (1.1-7.7), 3.9(1.0-15.0)]. Conclusions: The FXIII Val34Leu polymorphism may be associated with the development of early RPL in association with fibrinogen concentrations. At fibrinogen levels in the low normal range, FXIII 34Leu may modify fibrin structure toward an increased resistance to fibrinolysis. © 2013 Wiley Periodicals, Inc.","author":[{"dropping-particle":"","family":"Dossenbach-Glaninger","given":"Astrid","non-dropping-particle":"","parse-names":false,"suffix":""},{"dropping-particle":"","family":"Trotsenburg","given":"Mick","non-dropping-particle":"van","parse-names":false,"suffix":""},{"dropping-particle":"","family":"Oberkanins","given":"Christian","non-dropping-particle":"","parse-names":false,"suffix":""},{"dropping-particle":"","family":"Atamaniuk","given":"Johanna","non-dropping-particle":"","parse-names":false,"suffix":""}],"container-title":"Journal of Clinical Laboratory Analysis","id":"ITEM-1","issue":"6","issued":{"date-parts":[["2013","11"]]},"page":"444-449","title":"Risk for early pregnancy loss by factor XIII Val34Leu: The impact of fibrinogen concentration","type":"article-journal","volume":"27"},"uris":["http://www.mendeley.com/documents/?uuid=7aaa4720-2da7-30f3-a33e-e782958a8593"]}],"mendeley":{"formattedCitation":"[8]","plainTextFormattedCitation":"[8]","previouslyFormattedCitation":"[8]"},"properties":{"noteIndex":0},"schema":"https://github.com/citation-style-language/schema/raw/master/csl-citation.json"}</w:instrText>
      </w:r>
      <w:r w:rsidR="00C011C5">
        <w:fldChar w:fldCharType="separate"/>
      </w:r>
      <w:r w:rsidR="00020167" w:rsidRPr="00020167">
        <w:rPr>
          <w:noProof/>
        </w:rPr>
        <w:t>[8]</w:t>
      </w:r>
      <w:r w:rsidR="00C011C5">
        <w:fldChar w:fldCharType="end"/>
      </w:r>
      <w:r w:rsidR="00AD079C">
        <w:t>. O</w:t>
      </w:r>
      <w:r>
        <w:t>ther</w:t>
      </w:r>
      <w:r w:rsidR="00AD079C">
        <w:t xml:space="preserve"> studies </w:t>
      </w:r>
      <w:r>
        <w:t xml:space="preserve">proved that such mutation could be protective against venous thrombosis with bleeding </w:t>
      </w:r>
      <w:r w:rsidR="00C011C5">
        <w:t xml:space="preserve">problems </w:t>
      </w:r>
      <w:r w:rsidR="00C011C5">
        <w:fldChar w:fldCharType="begin" w:fldLock="1"/>
      </w:r>
      <w:r w:rsidR="00C81C5D">
        <w:instrText>ADDIN CSL_CITATION {"citationItems":[{"id":"ITEM-1","itemData":{"DOI":"10.1016/j.cca.2006.05.032","ISSN":"00098981","PMID":"16844105","abstract":"Background: Recurrent miscarriage (RM) syndrome is not an uncommon obstetrical problem of multifactorial etiology. We investigated the role of the coagulation factor XIII (FXIII) Val34Leu polymorphism in RM. Methods: We recruited 80 subjects (40 normal and 40 with history of RM; of each group 20 pregnant and 20 non-pregnant) and analyzed the prevalence of this polymorphism. The women recruited for the present study had similar age and did not have history of any hemostatic disorders. FXIII levels and activity and the rate of fibrin cross-linking by FXIII genotype Val34Val and Val34Leu were studied. Results: Genotype analyses of patients and normal revealed that the frequencies distribution of Val/Val and Val/leu were statistically similar (P &lt; 0.05): 62.5% and 60%, and 37.5% and 40%, respectively; no Leu/leu genotype was found. The FXIII-A subunit levels and activity were also found similar between Val/Val and Val/leu genotypes in the different groups, pregnant and non-pregnant, normal or with RM. The rate of FXIII α and γ-chains fibrin cross-linking was not different between the 2 genotypes. Conclusion: From our results we conclude that FXIII Val34Leu polymorphism does not appear to be associated to RM. © 2006.","author":[{"dropping-particle":"","family":"López Ramírez","given":"Ysabel","non-dropping-particle":"","parse-names":false,"suffix":""},{"dropping-particle":"","family":"Vivenes","given":"Merlín","non-dropping-particle":"","parse-names":false,"suffix":""},{"dropping-particle":"","family":"Miller","given":"Aixa","non-dropping-particle":"","parse-names":false,"suffix":""},{"dropping-particle":"","family":"Pulido","given":"Aníbal","non-dropping-particle":"","parse-names":false,"suffix":""},{"dropping-particle":"","family":"López Mora","given":"José","non-dropping-particle":"","parse-names":false,"suffix":""},{"dropping-particle":"","family":"Arocha-Piñango","given":"Carmen Luisa","non-dropping-particle":"","parse-names":false,"suffix":""},{"dropping-particle":"","family":"Marchi","given":"Rita","non-dropping-particle":"","parse-names":false,"suffix":""}],"container-title":"Clinica Chimica Acta","id":"ITEM-1","issued":{"date-parts":[["2006"]]},"title":"Prevalence of the coagulation factor XIII polymorphism Val34Leu in women with recurrent miscarriage","type":"article-journal"},"uris":["http://www.mendeley.com/documents/?uuid=aa1edbdf-66fa-4fe7-81d6-84129f25a3cc","http://www.mendeley.com/documents/?uuid=baee49b4-f979-4463-8bec-fef3be00e9d2"]},{"id":"ITEM-2","itemData":{"DOI":"10.1093/aje/kwj179","ISSN":"00029262","PMID":"16740590","abstract":"It has been suggested that a G-to-T transition in exon 2 of the factor XIIIA gene resulting in a substitution of leucine for valine at amino acid 34 (FXIII Val34Leu) protects against venous thromboembolism (VTE). However, the evidence to date is insufficient to incorporate testing for the FXIII Val34Leu variant into clinical practice. To determine whether genotypes with the FXIII Val34Leu variant are protective against VTE, the authors performed a meta-analysis of 12 studies with genotyping for the FXIII Val34Leu variant (3,165 objectively diagnosed VTE cases and 4,909 controls). When a random-effects model was used, the combined odds ratios for VTE were 0.63 (95% confidence interval: 0.46, 0.86) for the homozygotes of the FXIII Val34Leu variant, 0.89 (95% confidence interval: 0.80, 0.99) for the heterozygotes, and 0.85 (95% confidence interval: 0.77, 0.95) for the homozygotes and heterozygotes combined. Potential sources of heterogeneity and potential bias were explored. The meta-analysis provided evidence that the FXIII Val34Leu variant has a small, but significant protective effect against VTE. Since VTE is a complex disorder, this information, along with results of ongoing studies to identify additional genetic factors underlying VTE, will be crucial in developing accurate risk profiles to identify individuals at higher risk of VTE. Copyright © 2006 by the Johns Hopkins Bloomberg School of Public Health All rights reserved.","author":[{"dropping-particle":"","family":"Wells","given":"Philip S.","non-dropping-particle":"","parse-names":false,"suffix":""},{"dropping-particle":"","family":"Anderson","given":"Josdalyne L.","non-dropping-particle":"","parse-names":false,"suffix":""},{"dropping-particle":"","family":"Scarvelis","given":"Dimitrios K.","non-dropping-particle":"","parse-names":false,"suffix":""},{"dropping-particle":"","family":"Doucette","given":"Steve P.","non-dropping-particle":"","parse-names":false,"suffix":""},{"dropping-particle":"","family":"Gagnon","given":"France","non-dropping-particle":"","parse-names":false,"suffix":""}],"container-title":"American Journal of Epidemiology","id":"ITEM-2","issued":{"date-parts":[["2006"]]},"title":"Factor XIII Val34Leu variant is protective against venous thromboembolism: A HuGE review and meta-analysis","type":"article"},"uris":["http://www.mendeley.com/documents/?uuid=b6e925a5-21b2-4e69-b51e-7c4a1ea8ce1e","http://www.mendeley.com/documents/?uuid=e4f9bc37-8feb-40f4-9106-e0eb0cc92621"]},{"id":"ITEM-3","itemData":{"DOI":"10.1182/blood.v96.7.2479.h8002479_2479_2486","ISSN":"00064971","PMID":"11001900","abstract":"Val34Leu polymorphism of the A subunit of coagulation factor XIII (FXIII-A) is located in the activation peptide (AP) just 3 amino acids away from the thrombin cleavage site. This mutation has been associated with a protective effect against occlusive arterial diseases and venous thrombosis; however, its biochemical consequences have not been explored. In the current study it was demonstrated that the intracellular stability and the plasma concentration of FXIII of different Val34Leu genotypes are identical, which suggests that there is no difference in the rate of synthesis and externalization of wild-type and mutant FXIII-A. In contrast, the release of AP by thrombin from the Leu34 allele proceeded significantly faster than from its wild-type Val34 counterpart. By molecular modeling larger interaction energy was calculated between the Leu34 variant and the respective domains of thrombin than between the Val34 variant and thrombin, in agreement with these findings, the activation of mutant plasma FXIII by thrombin was faster and required less thrombin than that of the wild-type variant. Full thrombin activation of purifled plasma FXIII of different genotypes, however, resulted in identical specific transglutaminase activities. Similarly, the mean specific FXIII activity in the plasma was the same in the groups with wild-type, heterozygous, and homozygous variants. Faster activation of the Leu34 allele hardly could be associated with its presumed protective effect against venous thrombosis. No such protective effect was observed in a large group of patients with familial thrombophilia. (C) 2000 by The American Society of Hematology.","author":[{"dropping-particle":"","family":"Balogh","given":"I.","non-dropping-particle":"","parse-names":false,"suffix":""},{"dropping-particle":"","family":"Szoke","given":"G.","non-dropping-particle":"","parse-names":false,"suffix":""},{"dropping-particle":"","family":"Karpati","given":"L.","non-dropping-particle":"","parse-names":false,"suffix":""},{"dropping-particle":"","family":"Wartiovaara","given":"U.","non-dropping-particle":"","parse-names":false,"suffix":""},{"dropping-particle":"","family":"Katona","given":"E.","non-dropping-particle":"","parse-names":false,"suffix":""},{"dropping-particle":"","family":"Komaromi","given":"I.","non-dropping-particle":"","parse-names":false,"suffix":""},{"dropping-particle":"","family":"Haramura","given":"G.","non-dropping-particle":"","parse-names":false,"suffix":""},{"dropping-particle":"","family":"Pfliegler","given":"G.","non-dropping-particle":"","parse-names":false,"suffix":""},{"dropping-particle":"","family":"Mikkola","given":"H.","non-dropping-particle":"","parse-names":false,"suffix":""},{"dropping-particle":"","family":"Muszbek","given":"L.","non-dropping-particle":"","parse-names":false,"suffix":""}],"container-title":"Blood","id":"ITEM-3","issued":{"date-parts":[["2000"]]},"title":"Val34Leu polymorphism of plasma factor XIII: Biochemistry and epidemiology in familial thrombophilia","type":"article-journal"},"uris":["http://www.mendeley.com/documents/?uuid=ecb8a4c9-4ee1-4e35-8419-9b549e0356a5","http://www.mendeley.com/documents/?uuid=867f1f03-4721-47d9-8998-c417c9102621"]}],"mendeley":{"formattedCitation":"[11,13,14]","plainTextFormattedCitation":"[11,13,14]","previouslyFormattedCitation":"[11,13,14]"},"properties":{"noteIndex":0},"schema":"https://github.com/citation-style-language/schema/raw/master/csl-citation.json"}</w:instrText>
      </w:r>
      <w:r w:rsidR="00C011C5">
        <w:fldChar w:fldCharType="separate"/>
      </w:r>
      <w:r w:rsidR="00020167" w:rsidRPr="00020167">
        <w:rPr>
          <w:noProof/>
          <w:lang w:val="en-GB"/>
        </w:rPr>
        <w:t>[11,13,14]</w:t>
      </w:r>
      <w:r w:rsidR="00C011C5">
        <w:fldChar w:fldCharType="end"/>
      </w:r>
      <w:r w:rsidR="00C011C5" w:rsidRPr="00AC29A6">
        <w:rPr>
          <w:lang w:val="en-GB"/>
        </w:rPr>
        <w:t>.</w:t>
      </w:r>
      <w:r>
        <w:t xml:space="preserve"> However, it has to be taken into account that the development of coagulation</w:t>
      </w:r>
      <w:r w:rsidR="00283F78">
        <w:t>-</w:t>
      </w:r>
      <w:r>
        <w:t xml:space="preserve">based pregnancy complications is usually a multifactorial event involving gene–gene and gene–environment interactions. For this reason, some carriers of predisposing genotypes will not develop disease while others will, even without carrying distinct risk </w:t>
      </w:r>
      <w:r w:rsidR="00971EA1">
        <w:t xml:space="preserve">factors </w:t>
      </w:r>
      <w:r w:rsidR="00971EA1">
        <w:fldChar w:fldCharType="begin" w:fldLock="1"/>
      </w:r>
      <w:r w:rsidR="00C81C5D">
        <w:instrText>ADDIN CSL_CITATION {"citationItems":[{"id":"ITEM-1","itemData":{"DOI":"10.1007/s10815-013-0071-5","ISSN":"10580468","PMID":"23989998","abstract":"Purpose: To determine whether the Factor V (1691G/A), Factor V HR2 (4070A/G), Prothrombin (20210G/A), PAI-1 (-675 I/D, 5G/4G), ACE (intron 16 I/D), Factor VII (Gln353Arg), Factor XIII (Val34Leu), β-fibrinogen (-455G/A), Glycoprotein Ia (807C/T), tPA (intron 8 D/I) gene mutations could be risk factors for recurrent pregnancy loss (RPL). Methods: Genotyping of thrombophilic gene mutations were carried out by amplification Refractory Mutation System-PCR (ARMS-PCR) method after DNA extraction. Results: We found that the mutant allele frequencies of Factor V (1691G/A), Factor V HR2 (4070A/G), Prothrombin (20210G/A), PAI-1 (-675 I/D, 5G/4G), Factor XIII (Val34Leu) and β-fibrinogen (-455G/A) were more seen in the case group compared with the healthy control; However, the difference between the two group is not statistically significant (p &gt; 0.05). Whilst the mutant allele frequencies of other studied genes were lower in the case in comparison to the fertile control women (p &gt; 0.05). Conclusion: Taken together, our data has shown that the prevalence of thrombophilic gene mutations was similar in women with RPL and healthy controls. Therefore, it appears that further studies on large-scale population and other genetic variants will be needed to conclusively find candidate genes for RPL unknown etiology in the future. © 2013 Springer Science+Business Media New York.","author":[{"dropping-particle":"","family":"Poursadegh Zonouzi","given":"Ahmad","non-dropping-particle":"","parse-names":false,"suffix":""},{"dropping-particle":"","family":"Chaparzadeh","given":"Nader","non-dropping-particle":"","parse-names":false,"suffix":""},{"dropping-particle":"","family":"Ghorbian","given":"Saeid","non-dropping-particle":"","parse-names":false,"suffix":""},{"dropping-particle":"","family":"Sadaghiani","given":"Mahzad Mehrzad","non-dropping-particle":"","parse-names":false,"suffix":""},{"dropping-particle":"","family":"Farzadi","given":"Laya","non-dropping-particle":"","parse-names":false,"suffix":""},{"dropping-particle":"","family":"Ghasemzadeh","given":"Alieh","non-dropping-particle":"","parse-names":false,"suffix":""},{"dropping-particle":"","family":"Kafshdooz","given":"Taiebeh","non-dropping-particle":"","parse-names":false,"suffix":""},{"dropping-particle":"","family":"Sakhinia","given":"Masoud","non-dropping-particle":"","parse-names":false,"suffix":""},{"dropping-particle":"","family":"Sakhinia","given":"Ebrahim","non-dropping-particle":"","parse-names":false,"suffix":""}],"container-title":"Journal of Assisted Reproduction and Genetics","id":"ITEM-1","issued":{"date-parts":[["2013"]]},"title":"The association between thrombophilic gene mutations and recurrent pregnancy loss","type":"article-journal"},"uris":["http://www.mendeley.com/documents/?uuid=193c2978-356c-4f8c-822e-bfed074833f5","http://www.mendeley.com/documents/?uuid=9c9b9842-5468-473a-887e-078f843f6997"]},{"id":"ITEM-2","itemData":{"DOI":"10.1111/j.1600-0897.2006.00376.x","ISSN":"10467408","PMID":"16635210","abstract":"Problem: Recurrent miscarriage is a heterogeneous condition. While the role of acquired thrombophilia has been accepted as an etiology of recurrent miscarriage, the contribution of specific inherited thrombophilic genes to this disorder has remained controversial. We compared the prevalence of 10 thrombophilic gene mutations among women with a history of recurrent miscarriages and fertile control women. Method of study: A total of 150 women with a history of two or more recurrent pregnancy losses and 20 fertile control women with no history of pregnancy losses had buccal swabs taken for DNA analyses of 10 gene mutations [factor V G1691A, factor V H1299R (R2), factor V Y1702C, factor II prothrombin G20210A, factor XIII V34L, b-fibrinogen -455G&gt;A, PAI-1 4G/5G, HPA1 a/b (L33P), MTHFR C677T, MTHFR A1298C]. The prevalence of these mutations was compared between women experiencing recurrent miscarriage and controls. Results: No differences in the frequency of specific gene mutations were detected when women with recurrent miscarriage were compared with control women. However, the prevalence of homozygous mutations and total gene mutations among patients with recurrent miscarriage was significantly higher than among controls. Homozygous mutations were found in 59% of women with a history of recurrent pregnancy loss contrasted to 10% of control women. More than three gene mutations among the 10 genes studied were observed in 68% of women with recurrent miscarriage and 21% of controls. Conclusion: Inherited thrombophilias are associated with recurrent miscarriage. This association is manifest by total number of mutations rather than specific genes involved. © 2006 Blackwell Munksgaard.","author":[{"dropping-particle":"","family":"Coulam","given":"Carolyn B.","non-dropping-particle":"","parse-names":false,"suffix":""},{"dropping-particle":"","family":"Jeyendran","given":"Rajasinqam S.","non-dropping-particle":"","parse-names":false,"suffix":""},{"dropping-particle":"","family":"Fishel","given":"Laurence A.","non-dropping-particle":"","parse-names":false,"suffix":""},{"dropping-particle":"","family":"Roussev","given":"Roumen","non-dropping-particle":"","parse-names":false,"suffix":""}],"container-title":"American Journal of Reproductive Immunology","id":"ITEM-2","issued":{"date-parts":[["2006"]]},"title":"Multiple thrombophilic gene mutations rather than specific gene mutations are risk factors for recurrent miscarriage","type":"article-journal"},"uris":["http://www.mendeley.com/documents/?uuid=e7baeae1-2822-47e0-b5c3-e051b501607b","http://www.mendeley.com/documents/?uuid=6c1b2c1c-4c14-418b-af91-1dc55ec6ae8f"]}],"mendeley":{"formattedCitation":"[15,16]","plainTextFormattedCitation":"[15,16]","previouslyFormattedCitation":"[15,16]"},"properties":{"noteIndex":0},"schema":"https://github.com/citation-style-language/schema/raw/master/csl-citation.json"}</w:instrText>
      </w:r>
      <w:r w:rsidR="00971EA1">
        <w:fldChar w:fldCharType="separate"/>
      </w:r>
      <w:r w:rsidR="00020167" w:rsidRPr="00020167">
        <w:rPr>
          <w:noProof/>
        </w:rPr>
        <w:t>[15,16]</w:t>
      </w:r>
      <w:r w:rsidR="00971EA1">
        <w:fldChar w:fldCharType="end"/>
      </w:r>
      <w:r w:rsidR="00971EA1">
        <w:t>.</w:t>
      </w:r>
    </w:p>
    <w:p w14:paraId="4A602862" w14:textId="7E903CDE" w:rsidR="003D15EF" w:rsidRDefault="0092530A" w:rsidP="00A92B4E">
      <w:pPr>
        <w:spacing w:line="240" w:lineRule="auto"/>
      </w:pPr>
      <w:r w:rsidRPr="009474CE">
        <w:t>Most of the literature connecting RPL with FXIII Val34Leu studies the possible association between them. There</w:t>
      </w:r>
      <w:r>
        <w:t xml:space="preserve"> is little evidence in the literature when it comes to the treatment of women who carry the FXIII 34Leu variant </w:t>
      </w:r>
      <w:r w:rsidR="00A92B4E">
        <w:t>and nearly no data exists on management of those patients during pregnancy</w:t>
      </w:r>
      <w:r>
        <w:t xml:space="preserve">. In this article, we report three cases </w:t>
      </w:r>
      <w:r w:rsidR="004A4F56">
        <w:t>with</w:t>
      </w:r>
      <w:r>
        <w:t xml:space="preserve"> unexplained history of RPL</w:t>
      </w:r>
      <w:r w:rsidR="0011003A">
        <w:t>,</w:t>
      </w:r>
      <w:r>
        <w:t xml:space="preserve"> and</w:t>
      </w:r>
      <w:r w:rsidR="0011003A">
        <w:t xml:space="preserve"> who</w:t>
      </w:r>
      <w:r>
        <w:t xml:space="preserve"> </w:t>
      </w:r>
      <w:r w:rsidR="00A92B4E">
        <w:t xml:space="preserve">are </w:t>
      </w:r>
      <w:r>
        <w:t xml:space="preserve">homozygous for </w:t>
      </w:r>
      <w:r w:rsidRPr="00781A53">
        <w:t>Factor XIII Val34Leu</w:t>
      </w:r>
      <w:r w:rsidR="0011003A">
        <w:t xml:space="preserve">. </w:t>
      </w:r>
      <w:r w:rsidR="00A92B4E">
        <w:t xml:space="preserve">Although examining this factor </w:t>
      </w:r>
      <w:r w:rsidR="00B4226B" w:rsidRPr="009474CE">
        <w:t xml:space="preserve">FXIII Val34Leu </w:t>
      </w:r>
      <w:r w:rsidR="00A92B4E">
        <w:t xml:space="preserve">is not part of </w:t>
      </w:r>
      <w:r w:rsidR="00B4226B">
        <w:t xml:space="preserve">routine </w:t>
      </w:r>
      <w:r w:rsidR="00A92B4E">
        <w:t xml:space="preserve">RPL work-up, this has been suggested in those patients after searching literature thoroughly about possible causes. Some article shed the light on the effect of </w:t>
      </w:r>
      <w:r w:rsidR="00A92B4E" w:rsidRPr="00781A53">
        <w:t>Factor XIII Val34Leu</w:t>
      </w:r>
      <w:r w:rsidR="00A92B4E">
        <w:t xml:space="preserve"> mutation in disturbing early embryological and placental </w:t>
      </w:r>
      <w:r w:rsidR="00A92B4E" w:rsidRPr="006802D2">
        <w:t>development</w:t>
      </w:r>
      <w:r w:rsidR="006802D2" w:rsidRPr="006802D2">
        <w:fldChar w:fldCharType="begin" w:fldLock="1"/>
      </w:r>
      <w:r w:rsidR="00C81C5D">
        <w:instrText>ADDIN CSL_CITATION {"citationItems":[{"id":"ITEM-1","itemData":{"DOI":"10.1373/49.7.1081","ISSN":"0009-9147","abstract":"Background: A successful outcome of pregnancy depends on proper placental formation. In the very beginning of this process, trophoblast invasion and fibrin deposition into the wall of the decidual veins play an important part. Two polymorphisms, coagulation factor XIII (FXIII) Val34Leu and plasminogen activator inhibitor 1 (PAI-1) 4G/5G, interfere with fibrin cross-linking and regulation of fibrinolysis and may therefore contribute to early pregnancy loss. Methods: We enrolled 49 unrelated Caucasian women with a history of two consecutive or three to six nonconsecutive early pregnancy losses and 48 unrelated parous healthy controls without a history of pregnancy loss and evaluated them for the following genetic variants: the factor V Leiden and prothrombin G20210A gene mutations, the methylenetetrahydrofolate reductase C677T and A1298C polymorphisms, and the PAI-1 4G/5G and FXIII Val34Leu polymorphisms. Results: For the isolated occurrence of PAI-1 4G/5G or FXIII Val34Leu, we found no statistically significant difference between cases and controls. For homozygosity of either or compound carrier status of both mutations, the overall relative risk for early pregnancy loss was significantly increased (odds ratio = 2.4; 95% confidence interval, 1.1-5.5; P = 0.032). We observed no statistically relevant association of any of the other tested mutations with early pregnancy loss. Conclusion: Homozygosity for PAI-1 4G or FXIII 34Leu polymorphisms as well as compound carrier status is associated with early pregnancy loss. © 2003 American Association for Clinical Chemistry.","author":[{"dropping-particle":"","family":"Dossenbach-Glaninger","given":"Astrid","non-dropping-particle":"","parse-names":false,"suffix":""},{"dropping-particle":"","family":"Trotsenburg","given":"Michael","non-dropping-particle":"van","parse-names":false,"suffix":""},{"dropping-particle":"","family":"Dossenbach","given":"Martin","non-dropping-particle":"","parse-names":false,"suffix":""},{"dropping-particle":"","family":"Oberkanins","given":"Christian","non-dropping-particle":"","parse-names":false,"suffix":""},{"dropping-particle":"","family":"Moritz","given":"Anne","non-dropping-particle":"","parse-names":false,"suffix":""},{"dropping-particle":"","family":"Krugluger","given":"Walter","non-dropping-particle":"","parse-names":false,"suffix":""},{"dropping-particle":"","family":"Huber","given":"Johannes","non-dropping-particle":"","parse-names":false,"suffix":""},{"dropping-particle":"","family":"Hopmeier","given":"Pierre","non-dropping-particle":"","parse-names":false,"suffix":""}],"container-title":"Clinical Chemistry","id":"ITEM-1","issue":"7","issued":{"date-parts":[["2003","7","1"]]},"page":"1081-1086","publisher":"Oxford Academic","title":"Plasminogen Activator Inhibitor 1 4G/5G Polymorphism and Coagulation Factor XIII Val34Leu Polymorphism: Impaired Fibrinolysis and Early Pregnancy Loss","type":"article-journal","volume":"49"},"uris":["http://www.mendeley.com/documents/?uuid=8b223ce8-35e9-3594-aaa5-0c8a396a4e95"]}],"mendeley":{"formattedCitation":"[17]","plainTextFormattedCitation":"[17]","previouslyFormattedCitation":"[17]"},"properties":{"noteIndex":0},"schema":"https://github.com/citation-style-language/schema/raw/master/csl-citation.json"}</w:instrText>
      </w:r>
      <w:r w:rsidR="006802D2" w:rsidRPr="006802D2">
        <w:fldChar w:fldCharType="separate"/>
      </w:r>
      <w:r w:rsidR="00020167" w:rsidRPr="00020167">
        <w:rPr>
          <w:noProof/>
        </w:rPr>
        <w:t>[17]</w:t>
      </w:r>
      <w:r w:rsidR="006802D2" w:rsidRPr="006802D2">
        <w:fldChar w:fldCharType="end"/>
      </w:r>
      <w:r w:rsidR="00A92B4E" w:rsidRPr="006802D2">
        <w:t>.</w:t>
      </w:r>
    </w:p>
    <w:p w14:paraId="0B9AA43A" w14:textId="06CFBA90" w:rsidR="0092530A" w:rsidRDefault="00D81695" w:rsidP="009D13E6">
      <w:pPr>
        <w:spacing w:line="240" w:lineRule="auto"/>
      </w:pPr>
      <w:r>
        <w:lastRenderedPageBreak/>
        <w:t xml:space="preserve">When it comes to available treatments for deficient </w:t>
      </w:r>
      <w:r w:rsidRPr="009474CE">
        <w:t>FXIII Val34Leu</w:t>
      </w:r>
      <w:r>
        <w:t xml:space="preserve"> during pregnancy, the options include recombinant FXIII concentrate, </w:t>
      </w:r>
      <w:r w:rsidR="00C81C5D" w:rsidRPr="00EE7087">
        <w:t xml:space="preserve">Fresh Frozen Plasma </w:t>
      </w:r>
      <w:r w:rsidR="00C81C5D" w:rsidRPr="00EE7087">
        <w:t>(</w:t>
      </w:r>
      <w:r w:rsidRPr="00EE7087">
        <w:t>FFP</w:t>
      </w:r>
      <w:r w:rsidR="00C81C5D" w:rsidRPr="00EE7087">
        <w:t>)</w:t>
      </w:r>
      <w:r w:rsidRPr="00EE7087">
        <w:t xml:space="preserve"> and</w:t>
      </w:r>
      <w:r>
        <w:t xml:space="preserve"> cryoprecipitate</w:t>
      </w:r>
      <w:r w:rsidR="00C81C5D">
        <w:fldChar w:fldCharType="begin" w:fldLock="1"/>
      </w:r>
      <w:r w:rsidR="00026495">
        <w:instrText>ADDIN CSL_CITATION {"citationItems":[{"id":"ITEM-1","itemData":{"DOI":"10.1016/J.BLRE.2016.06.002","ISSN":"1532-1681","PMID":"27344554","abstract":"Factor XIII (FXIII) is a multifunctional pro-γ-transglutaminase that, in addition to its well-known role in hemostasis, has a crucial role in angiogenesis, maintenance of pregnancy, wound healing, bone metabolism, and even cardio protection. FXIII deficiency (FXIIID) is a rare bleeding disorder (RBD) with an estimated incidence of one per two million that is accompanied by life-threatening bleeding such as umbilical cord bleeding, recurrent spontaneous miscarriage, and intracranial hemorrhage (ICH). Today, the disease is successfully managed by FXIII concentrate and recombinant FXIII for prophylaxis, management of minor and major bleeding, treatment of ICH, and successful delivery in women with recurrent pregnancy loss. Molecular analysis of patients with FXIIID revealed a wide spectrum of mutations, most frequently missense mutations in the FXIII-A subunit, with a few recurrent mutations observed worldwide. In vitro expression studies revealed that most of the missense mutations cause intracellular instability of the FXIII protein and, subsequently, FXIIID.","author":[{"dropping-particle":"","family":"A","given":"Dorgalaleh","non-dropping-particle":"","parse-names":false,"suffix":""},{"dropping-particle":"","family":"J","given":"Rashidpanah","non-dropping-particle":"","parse-names":false,"suffix":""}],"container-title":"Blood reviews","id":"ITEM-1","issue":"6","issued":{"date-parts":[["2016","11","1"]]},"page":"461-475","publisher":"Blood Rev","title":"Blood coagulation factor XIII and factor XIII deficiency","type":"article-journal","volume":"30"},"uris":["http://www.mendeley.com/documents/?uuid=fdafd0cc-0b18-374b-96c0-ba1e2b4e8f97"]}],"mendeley":{"formattedCitation":"[18]","plainTextFormattedCitation":"[18]","previouslyFormattedCitation":"[18]"},"properties":{"noteIndex":0},"schema":"https://github.com/citation-style-language/schema/raw/master/csl-citation.json"}</w:instrText>
      </w:r>
      <w:r w:rsidR="00C81C5D">
        <w:fldChar w:fldCharType="separate"/>
      </w:r>
      <w:r w:rsidR="00C81C5D" w:rsidRPr="00C81C5D">
        <w:rPr>
          <w:noProof/>
        </w:rPr>
        <w:t>[18]</w:t>
      </w:r>
      <w:r w:rsidR="00C81C5D">
        <w:fldChar w:fldCharType="end"/>
      </w:r>
      <w:r w:rsidR="00C81C5D">
        <w:t>.</w:t>
      </w:r>
      <w:r w:rsidR="009612DD">
        <w:t xml:space="preserve"> FFP was used to </w:t>
      </w:r>
      <w:r w:rsidR="009612DD" w:rsidRPr="00C67C97">
        <w:t xml:space="preserve">normalize the function of mutant </w:t>
      </w:r>
      <w:r w:rsidR="009612DD" w:rsidRPr="00C67C97">
        <w:t>Factor XIII</w:t>
      </w:r>
      <w:r w:rsidR="009612DD" w:rsidRPr="00C67C97">
        <w:t xml:space="preserve"> at a dose of </w:t>
      </w:r>
      <w:r w:rsidR="00853862">
        <w:t>5-</w:t>
      </w:r>
      <w:r w:rsidR="009612DD" w:rsidRPr="00C67C97">
        <w:t>10ml/kg.</w:t>
      </w:r>
      <w:r w:rsidR="007A6E14" w:rsidRPr="00C67C97">
        <w:t xml:space="preserve"> As the</w:t>
      </w:r>
      <w:r w:rsidR="009D13E6">
        <w:t xml:space="preserve">re is no supporting data on </w:t>
      </w:r>
      <w:r w:rsidR="007A6E14" w:rsidRPr="00C67C97">
        <w:t>frequency</w:t>
      </w:r>
      <w:r w:rsidR="009D13E6">
        <w:t xml:space="preserve"> of treatment, we proposed a 4-weekly </w:t>
      </w:r>
      <w:r w:rsidR="007A6E14" w:rsidRPr="00C67C97">
        <w:t>administra</w:t>
      </w:r>
      <w:r w:rsidR="00C67C97" w:rsidRPr="00C67C97">
        <w:t xml:space="preserve">tion </w:t>
      </w:r>
      <w:r w:rsidR="009D13E6">
        <w:t xml:space="preserve">protocol </w:t>
      </w:r>
      <w:r w:rsidR="00FB623E">
        <w:t xml:space="preserve">throughout </w:t>
      </w:r>
      <w:r w:rsidR="00C67C97" w:rsidRPr="00C67C97">
        <w:t>pregnancy</w:t>
      </w:r>
      <w:r w:rsidR="006C4BBF">
        <w:t xml:space="preserve"> simulating the treatment regimen</w:t>
      </w:r>
      <w:r w:rsidR="00E7522D">
        <w:t xml:space="preserve"> in cases of factor deficiency</w:t>
      </w:r>
      <w:r w:rsidR="00026495">
        <w:fldChar w:fldCharType="begin" w:fldLock="1"/>
      </w:r>
      <w:r w:rsidR="00666F95">
        <w:instrText>ADDIN CSL_CITATION {"citationItems":[{"id":"ITEM-1","itemData":{"DOI":"10.1097/01.ogx.0000259176.03156.2b","ISSN":"00297828","PMID":"17371605","abstract":"Congenital deficiency of blood coagulation factor XIII is an uncommon, inherited disorder characterized by hemorrhagic diathesis, habitual abortions and defective wound healing. We analyzed 8 reported successful pregnancies in women with a congenital deficiency of A-subunit of factor XIII (XIIIA), in which the plasma level of maternal factor XIIIA and/or the precise replacement therapies are described. Because decidual bleeding usually begins from 5 to 6 weeks' gestation and, without replacement therapy, spontaneous abortion always occurs, we herein offer the following prenatal and peripartum management guidelines and observations: i) the level of plasma A-subunit of factor XIII antigen (XIIIA-Ag) or factor XIII activity (XIII-act) must be at least 2%-3%, and, if possible, higher than 10% to prevent decidual bleeding and miscarriage during the pregnancy; ii) factor XIIIA concentrate is better than fresh frozen plasma or cryoprecipitate for replacement therapy; iii) the administration of 250 international units (IU) every 7 days is sufficient to maintain the level of plasma XIIIA-Ag or XIII-act more than 10% in the early period of gestation (through 22 weeks' gestation); however, 500 IU every 7 days is indicated in the later period (from 23 weeks' gestation) to maintain that level; iv) during labor, the desired level of plasma XIIIA-Ag or XIII-act should be higher than 20%, and, if possible, higher than 30% in order to make ready for any risk of severe obstetrical hemorrhagic complications; thus a booster dose of 1000 IU is indicated before labor; v) no replacement therapy is necessary in the puerperium because it is usually uneventful without it. TARGET AUDIENCE: Obstetricians &amp; Gynecologists, Family Physicians LEARNING OBJECTIVES: After completion of this article, the reader should be able to recall that congenital deficiency of factor XIII is a rare inherited disorder that has adverse pregnancy outcomes if not recognized and treated and explain that replacement treatment with factor XIIIA during early pregnancy improves the pregnancy outcome, however the replacement therapy must be increased to maintain the recommended level of plasma XIII activity during pregnancy and labor. © 2007 Lippincott Williams &amp; Wilkins, Inc.","author":[{"dropping-particle":"","family":"Asahina","given":"Toshihiko","non-dropping-particle":"","parse-names":false,"suffix":""},{"dropping-particle":"","family":"Kobayashi","given":"Takao","non-dropping-particle":"","parse-names":false,"suffix":""},{"dropping-particle":"","family":"Takeuchi","given":"Kinya","non-dropping-particle":"","parse-names":false,"suffix":""},{"dropping-particle":"","family":"Kanayama","given":"Naohiro","non-dropping-particle":"","parse-names":false,"suffix":""}],"container-title":"Obstetrical and Gynecological Survey","id":"ITEM-1","issued":{"date-parts":[["2007"]]},"title":"Congenital blood coagulation factor XIII deficiency and successful deliveries: A review of the literature","type":"article"},"uris":["http://www.mendeley.com/documents/?uuid=efccf2e7-2f84-4b0f-bc7d-ca96533c3539"]}],"mendeley":{"formattedCitation":"[19]","plainTextFormattedCitation":"[19]","previouslyFormattedCitation":"[19]"},"properties":{"noteIndex":0},"schema":"https://github.com/citation-style-language/schema/raw/master/csl-citation.json"}</w:instrText>
      </w:r>
      <w:r w:rsidR="00026495">
        <w:fldChar w:fldCharType="separate"/>
      </w:r>
      <w:r w:rsidR="00026495" w:rsidRPr="00026495">
        <w:rPr>
          <w:noProof/>
        </w:rPr>
        <w:t>[19]</w:t>
      </w:r>
      <w:r w:rsidR="00026495">
        <w:fldChar w:fldCharType="end"/>
      </w:r>
      <w:r w:rsidR="00666F95">
        <w:fldChar w:fldCharType="begin" w:fldLock="1"/>
      </w:r>
      <w:r w:rsidR="007B24A9">
        <w:instrText>ADDIN CSL_CITATION {"citationItems":[{"id":"ITEM-1","itemData":{"DOI":"10.12659/AJCR.901502","ISSN":"1941-5923","PMID":"28432284","abstract":"Objective: Rare disease Background: Factor XIII deficiency is associated with recurrent miscarriages in women. Case Report: In this report, we present a patient with factor XIII deficiency and some comorbidities who had had previous miscarriages. She began treatment with factor XIII subunit A (XIII-A) replacement treatment Recombinant factor XIII (Tretten) at a dose of 2500 units monthly and was able, for the first time, to carry a pregnancy almost to term. Although she experienced some obstetrical complications, she delivered a healthy baby. To the best of our knowledge, this is the first report of the use of Tretten during pregnancy. Conclusions: Tretten, which is not indicated in pregnancy, offered a safe, effective treatment for miscarriages secondary to factor XIII-A deficiency in our patient. Further research is required to confirm this finding.","author":[{"dropping-particle":"","family":"Abdel-Samad","given":"Nizar","non-dropping-particle":"","parse-names":false,"suffix":""},{"dropping-particle":"","family":"N.","given":"Abdel-Samad","non-dropping-particle":"","parse-names":false,"suffix":""}],"container-title":"American Journal of Case Reports","id":"ITEM-1","issued":{"date-parts":[["2017","4"]]},"page":"436-439","publisher":"International Scientific Information, Inc.","title":"Treatment with recombinant factor XIII (Tretten) in a pregnant woman with factor XIII deficiency","type":"article-journal","volume":"18"},"uris":["http://www.mendeley.com/documents/?uuid=ea20918d-bac4-4395-a58f-c18444de2a2a"]}],"mendeley":{"formattedCitation":"[20]","plainTextFormattedCitation":"[20]","previouslyFormattedCitation":"[20]"},"properties":{"noteIndex":0},"schema":"https://github.com/citation-style-language/schema/raw/master/csl-citation.json"}</w:instrText>
      </w:r>
      <w:r w:rsidR="00666F95">
        <w:fldChar w:fldCharType="separate"/>
      </w:r>
      <w:r w:rsidR="00666F95" w:rsidRPr="00666F95">
        <w:rPr>
          <w:noProof/>
        </w:rPr>
        <w:t>[20]</w:t>
      </w:r>
      <w:r w:rsidR="00666F95">
        <w:fldChar w:fldCharType="end"/>
      </w:r>
      <w:r w:rsidR="00C67C97" w:rsidRPr="00C67C97">
        <w:t xml:space="preserve">. </w:t>
      </w:r>
      <w:r w:rsidR="0011003A" w:rsidRPr="00C67C97">
        <w:t>All three cases we</w:t>
      </w:r>
      <w:r w:rsidR="0092530A" w:rsidRPr="00C67C97">
        <w:t>re successfully tr</w:t>
      </w:r>
      <w:r w:rsidR="00C81C5D" w:rsidRPr="00C67C97">
        <w:t xml:space="preserve">eated with FFP </w:t>
      </w:r>
      <w:r w:rsidR="00634A5A" w:rsidRPr="00C67C97">
        <w:t>as one of</w:t>
      </w:r>
      <w:r w:rsidR="00634A5A">
        <w:t xml:space="preserve"> promising modality of normalizing </w:t>
      </w:r>
      <w:r w:rsidR="00634A5A" w:rsidRPr="00781A53">
        <w:t>Factor XIII</w:t>
      </w:r>
      <w:r w:rsidR="00634A5A">
        <w:t xml:space="preserve"> function </w:t>
      </w:r>
      <w:r w:rsidR="0092530A">
        <w:t xml:space="preserve">and </w:t>
      </w:r>
      <w:r w:rsidR="00634A5A">
        <w:t>they have delivered normally with good outcomes.</w:t>
      </w:r>
    </w:p>
    <w:p w14:paraId="6C2E5045" w14:textId="77777777" w:rsidR="00AE2B70" w:rsidRDefault="00AE2B70" w:rsidP="00AE2B70">
      <w:pPr>
        <w:spacing w:line="240" w:lineRule="auto"/>
      </w:pPr>
    </w:p>
    <w:p w14:paraId="469B0C07" w14:textId="0D4E6610" w:rsidR="0092530A" w:rsidRPr="00AE2B70" w:rsidRDefault="0092530A" w:rsidP="003753AA">
      <w:pPr>
        <w:pStyle w:val="Heading1"/>
      </w:pPr>
      <w:r w:rsidRPr="00AE2B70">
        <w:t xml:space="preserve">Case </w:t>
      </w:r>
      <w:r w:rsidR="00B062FE">
        <w:t>Presentation</w:t>
      </w:r>
    </w:p>
    <w:p w14:paraId="6636B1CC" w14:textId="50A3534C" w:rsidR="003412EF" w:rsidRDefault="0092530A" w:rsidP="00A9707B">
      <w:pPr>
        <w:spacing w:line="240" w:lineRule="auto"/>
      </w:pPr>
      <w:r>
        <w:t>We prospectively followed up three women from August 2019 to September 2020 who</w:t>
      </w:r>
      <w:r>
        <w:rPr>
          <w:rFonts w:hint="cs"/>
          <w:rtl/>
        </w:rPr>
        <w:t xml:space="preserve"> </w:t>
      </w:r>
      <w:proofErr w:type="gramStart"/>
      <w:r>
        <w:t>were</w:t>
      </w:r>
      <w:proofErr w:type="gramEnd"/>
      <w:r>
        <w:t xml:space="preserve"> found to be homozygous for </w:t>
      </w:r>
      <w:r w:rsidRPr="00781A53">
        <w:t>Factor XIII Val34Leu</w:t>
      </w:r>
      <w:r>
        <w:t xml:space="preserve"> mutation </w:t>
      </w:r>
      <w:r w:rsidR="00A9707B">
        <w:t>apart from</w:t>
      </w:r>
      <w:r>
        <w:t xml:space="preserve"> their work-up for RPL in our fertility clinic. </w:t>
      </w:r>
      <w:r w:rsidR="00995CCD">
        <w:t xml:space="preserve">All patients </w:t>
      </w:r>
      <w:r w:rsidR="00531ECC">
        <w:t>gave their</w:t>
      </w:r>
      <w:r w:rsidR="00995CCD">
        <w:t xml:space="preserve"> consent to include their data in the study.</w:t>
      </w:r>
    </w:p>
    <w:p w14:paraId="055472C5" w14:textId="50CE20A4" w:rsidR="003412EF" w:rsidRDefault="0092530A" w:rsidP="00110DCB">
      <w:pPr>
        <w:spacing w:line="240" w:lineRule="auto"/>
        <w:rPr>
          <w:rFonts w:cstheme="minorHAnsi"/>
        </w:rPr>
      </w:pPr>
      <w:r>
        <w:t>Table 1 shows demographics of the three cases. The three reported women were 30, 26 and 20 years of age at</w:t>
      </w:r>
      <w:r w:rsidR="00AE2B70">
        <w:t xml:space="preserve"> the</w:t>
      </w:r>
      <w:r>
        <w:t xml:space="preserve"> time of presentation</w:t>
      </w:r>
      <w:r w:rsidR="00531ECC">
        <w:t>,</w:t>
      </w:r>
      <w:r>
        <w:t xml:space="preserve"> and each had five, two and three previous miscarriages, respectively. All of their miscarriages were in 1st trimester, except for case 2 who had one miscarriage at 19 weeks gestation. </w:t>
      </w:r>
      <w:r w:rsidR="009D2EA3">
        <w:t xml:space="preserve">None of them have positive </w:t>
      </w:r>
      <w:proofErr w:type="spellStart"/>
      <w:r w:rsidR="009D2EA3">
        <w:t>c</w:t>
      </w:r>
      <w:r w:rsidR="001924F4">
        <w:t>onsanguity</w:t>
      </w:r>
      <w:proofErr w:type="spellEnd"/>
      <w:r w:rsidR="001924F4">
        <w:t xml:space="preserve"> history. Parental k</w:t>
      </w:r>
      <w:r w:rsidR="00E0558C">
        <w:t>aryotyping was done for case 2 and 3 and it</w:t>
      </w:r>
      <w:r w:rsidR="002558E9">
        <w:t xml:space="preserve"> revealed no aberrations. </w:t>
      </w:r>
      <w:proofErr w:type="spellStart"/>
      <w:r w:rsidR="00553705">
        <w:t>Histopathological</w:t>
      </w:r>
      <w:proofErr w:type="spellEnd"/>
      <w:r w:rsidR="00553705">
        <w:t xml:space="preserve"> </w:t>
      </w:r>
      <w:r w:rsidR="00256CC2">
        <w:t xml:space="preserve">investigation </w:t>
      </w:r>
      <w:r w:rsidR="00553705">
        <w:t xml:space="preserve">of </w:t>
      </w:r>
      <w:proofErr w:type="spellStart"/>
      <w:r w:rsidR="00553705">
        <w:t>abortus</w:t>
      </w:r>
      <w:r w:rsidR="00C203CD">
        <w:t>es</w:t>
      </w:r>
      <w:proofErr w:type="spellEnd"/>
      <w:r w:rsidR="00553705">
        <w:t xml:space="preserve"> </w:t>
      </w:r>
      <w:r w:rsidR="00256CC2">
        <w:t>was</w:t>
      </w:r>
      <w:r w:rsidR="00531ECC">
        <w:t xml:space="preserve"> not</w:t>
      </w:r>
      <w:r w:rsidR="00256CC2">
        <w:t xml:space="preserve"> </w:t>
      </w:r>
      <w:r w:rsidR="00110DCB">
        <w:t>done</w:t>
      </w:r>
      <w:r w:rsidR="00256CC2">
        <w:t xml:space="preserve"> for any</w:t>
      </w:r>
      <w:r>
        <w:t xml:space="preserve"> of the previous miscarriages.</w:t>
      </w:r>
      <w:r>
        <w:rPr>
          <w:rFonts w:cstheme="minorHAnsi"/>
        </w:rPr>
        <w:t xml:space="preserve"> Their mean B</w:t>
      </w:r>
      <w:r w:rsidR="00531ECC">
        <w:rPr>
          <w:rFonts w:cstheme="minorHAnsi"/>
        </w:rPr>
        <w:t xml:space="preserve">ody </w:t>
      </w:r>
      <w:r>
        <w:rPr>
          <w:rFonts w:cstheme="minorHAnsi"/>
        </w:rPr>
        <w:t>M</w:t>
      </w:r>
      <w:r w:rsidR="00531ECC">
        <w:rPr>
          <w:rFonts w:cstheme="minorHAnsi"/>
        </w:rPr>
        <w:t xml:space="preserve">ass </w:t>
      </w:r>
      <w:r>
        <w:rPr>
          <w:rFonts w:cstheme="minorHAnsi"/>
        </w:rPr>
        <w:t>I</w:t>
      </w:r>
      <w:r w:rsidR="00531ECC">
        <w:rPr>
          <w:rFonts w:cstheme="minorHAnsi"/>
        </w:rPr>
        <w:t>ndex (BMI)</w:t>
      </w:r>
      <w:r>
        <w:rPr>
          <w:rFonts w:cstheme="minorHAnsi"/>
        </w:rPr>
        <w:t xml:space="preserve"> was </w:t>
      </w:r>
      <w:r w:rsidRPr="00130182">
        <w:rPr>
          <w:rFonts w:cstheme="minorHAnsi"/>
        </w:rPr>
        <w:t>21.8</w:t>
      </w:r>
      <w:r>
        <w:rPr>
          <w:rFonts w:cstheme="minorHAnsi"/>
        </w:rPr>
        <w:t>. They have no history of smoking or alcohol intake. None of them has family history of unexplained RPL.</w:t>
      </w:r>
    </w:p>
    <w:p w14:paraId="452942E8" w14:textId="48355A13" w:rsidR="0092530A" w:rsidRDefault="0092530A" w:rsidP="005075E6">
      <w:pPr>
        <w:spacing w:line="240" w:lineRule="auto"/>
        <w:rPr>
          <w:rFonts w:cstheme="minorHAnsi"/>
          <w:rtl/>
        </w:rPr>
      </w:pPr>
      <w:r>
        <w:rPr>
          <w:rFonts w:cstheme="minorHAnsi"/>
        </w:rPr>
        <w:t xml:space="preserve">Basic investigations for RPL included Complete Blood Count (CBC), </w:t>
      </w:r>
      <w:r w:rsidR="003453E4">
        <w:rPr>
          <w:rFonts w:cstheme="minorHAnsi"/>
        </w:rPr>
        <w:t>b</w:t>
      </w:r>
      <w:r>
        <w:rPr>
          <w:rFonts w:cstheme="minorHAnsi"/>
        </w:rPr>
        <w:t>lood group, Thyroid-Stimulating Hormone (TSH), Prolactin, HbA1c, Anti-Phospholipid (APS) antib</w:t>
      </w:r>
      <w:r w:rsidR="00C779C3">
        <w:rPr>
          <w:rFonts w:cstheme="minorHAnsi"/>
        </w:rPr>
        <w:t xml:space="preserve">odies and thrombophilia screen. </w:t>
      </w:r>
      <w:r>
        <w:rPr>
          <w:rFonts w:cstheme="minorHAnsi"/>
        </w:rPr>
        <w:t xml:space="preserve">There were no thyroid abnormalities reported in any of the cases. APS antibodies were negative for </w:t>
      </w:r>
      <w:r w:rsidR="00D94F2F">
        <w:rPr>
          <w:rFonts w:cstheme="minorHAnsi"/>
        </w:rPr>
        <w:t>all</w:t>
      </w:r>
      <w:r>
        <w:rPr>
          <w:rFonts w:cstheme="minorHAnsi"/>
        </w:rPr>
        <w:t xml:space="preserve"> three. </w:t>
      </w:r>
      <w:r w:rsidR="00D2738C">
        <w:rPr>
          <w:rFonts w:cstheme="minorHAnsi"/>
        </w:rPr>
        <w:t>Genetic t</w:t>
      </w:r>
      <w:r>
        <w:rPr>
          <w:rFonts w:cstheme="minorHAnsi"/>
        </w:rPr>
        <w:t xml:space="preserve">hrombophilia screen </w:t>
      </w:r>
      <w:r w:rsidR="00D2738C">
        <w:rPr>
          <w:rFonts w:cstheme="minorHAnsi"/>
        </w:rPr>
        <w:t>included</w:t>
      </w:r>
      <w:r w:rsidR="00E3578F">
        <w:rPr>
          <w:rFonts w:cstheme="minorHAnsi"/>
        </w:rPr>
        <w:t xml:space="preserve"> </w:t>
      </w:r>
      <w:r w:rsidR="00D2738C">
        <w:rPr>
          <w:rFonts w:cstheme="minorHAnsi"/>
        </w:rPr>
        <w:t xml:space="preserve">mainly </w:t>
      </w:r>
      <w:r w:rsidR="00E3578F">
        <w:rPr>
          <w:rFonts w:cstheme="minorHAnsi"/>
        </w:rPr>
        <w:t xml:space="preserve">Factor </w:t>
      </w:r>
      <w:r w:rsidR="00E3578F" w:rsidRPr="00E3578F">
        <w:rPr>
          <w:rFonts w:cstheme="minorHAnsi"/>
        </w:rPr>
        <w:t>V</w:t>
      </w:r>
      <w:r w:rsidR="00D2738C">
        <w:rPr>
          <w:rFonts w:cstheme="minorHAnsi"/>
        </w:rPr>
        <w:t xml:space="preserve"> Leiden and </w:t>
      </w:r>
      <w:proofErr w:type="spellStart"/>
      <w:r w:rsidR="00D2738C" w:rsidRPr="00D2738C">
        <w:rPr>
          <w:rFonts w:cstheme="minorHAnsi"/>
        </w:rPr>
        <w:t>Prothrombin</w:t>
      </w:r>
      <w:proofErr w:type="spellEnd"/>
      <w:r w:rsidR="004D0492">
        <w:rPr>
          <w:rFonts w:cstheme="minorHAnsi"/>
        </w:rPr>
        <w:t xml:space="preserve"> 20210 gene mutations</w:t>
      </w:r>
      <w:r w:rsidR="00D2738C">
        <w:rPr>
          <w:rFonts w:cstheme="minorHAnsi"/>
        </w:rPr>
        <w:t xml:space="preserve">. </w:t>
      </w:r>
      <w:r w:rsidR="004D0492">
        <w:rPr>
          <w:rFonts w:cstheme="minorHAnsi"/>
        </w:rPr>
        <w:t xml:space="preserve">For further tests, extended gene mutations requested; </w:t>
      </w:r>
      <w:r w:rsidR="004D0492" w:rsidRPr="00DF67DF">
        <w:rPr>
          <w:rFonts w:cstheme="minorHAnsi"/>
        </w:rPr>
        <w:t xml:space="preserve">Methylene </w:t>
      </w:r>
      <w:proofErr w:type="spellStart"/>
      <w:r w:rsidR="004D0492" w:rsidRPr="00DF67DF">
        <w:rPr>
          <w:rFonts w:cstheme="minorHAnsi"/>
        </w:rPr>
        <w:t>tetrahydrofolate</w:t>
      </w:r>
      <w:proofErr w:type="spellEnd"/>
      <w:r w:rsidR="004D0492" w:rsidRPr="00DF67DF">
        <w:rPr>
          <w:rFonts w:cstheme="minorHAnsi"/>
        </w:rPr>
        <w:t xml:space="preserve"> </w:t>
      </w:r>
      <w:proofErr w:type="spellStart"/>
      <w:r w:rsidR="004D0492" w:rsidRPr="00DF67DF">
        <w:rPr>
          <w:rFonts w:cstheme="minorHAnsi"/>
        </w:rPr>
        <w:t>reductase</w:t>
      </w:r>
      <w:proofErr w:type="spellEnd"/>
      <w:r w:rsidR="004D0492" w:rsidRPr="00DF67DF">
        <w:rPr>
          <w:rFonts w:cstheme="minorHAnsi"/>
        </w:rPr>
        <w:t xml:space="preserve"> (MTHFR)</w:t>
      </w:r>
      <w:r w:rsidR="004D0492">
        <w:rPr>
          <w:rFonts w:cstheme="minorHAnsi"/>
        </w:rPr>
        <w:t>,</w:t>
      </w:r>
      <w:r w:rsidR="004D0492" w:rsidRPr="004D0492">
        <w:rPr>
          <w:rFonts w:cstheme="minorHAnsi"/>
        </w:rPr>
        <w:t xml:space="preserve"> </w:t>
      </w:r>
      <w:r w:rsidR="004D0492" w:rsidRPr="00DF67DF">
        <w:rPr>
          <w:rFonts w:cstheme="minorHAnsi"/>
        </w:rPr>
        <w:t>Plasminogen activator inhibitor-1 (PAI-1</w:t>
      </w:r>
      <w:r w:rsidR="004D0492">
        <w:rPr>
          <w:rFonts w:cstheme="minorHAnsi"/>
        </w:rPr>
        <w:t>)</w:t>
      </w:r>
      <w:r w:rsidR="001A0DE1">
        <w:rPr>
          <w:rFonts w:cstheme="minorHAnsi"/>
        </w:rPr>
        <w:t xml:space="preserve">, </w:t>
      </w:r>
      <w:r w:rsidR="001A0DE1">
        <w:rPr>
          <w:rFonts w:cstheme="minorHAnsi"/>
        </w:rPr>
        <w:t>Factor 13 Val34Leu</w:t>
      </w:r>
      <w:r w:rsidR="001A0DE1">
        <w:rPr>
          <w:rFonts w:cstheme="minorHAnsi"/>
        </w:rPr>
        <w:t xml:space="preserve">, </w:t>
      </w:r>
      <w:r w:rsidR="001A0DE1" w:rsidRPr="001A0DE1">
        <w:rPr>
          <w:rFonts w:cstheme="minorHAnsi"/>
        </w:rPr>
        <w:t>Glycoprotein</w:t>
      </w:r>
      <w:r w:rsidR="001A0DE1" w:rsidRPr="001A0DE1">
        <w:rPr>
          <w:rFonts w:cstheme="minorHAnsi"/>
        </w:rPr>
        <w:t> </w:t>
      </w:r>
      <w:proofErr w:type="spellStart"/>
      <w:r w:rsidR="001A0DE1" w:rsidRPr="001A0DE1">
        <w:rPr>
          <w:rFonts w:cstheme="minorHAnsi"/>
        </w:rPr>
        <w:t>IIIa</w:t>
      </w:r>
      <w:proofErr w:type="spellEnd"/>
      <w:r w:rsidR="001A0DE1" w:rsidRPr="001A0DE1">
        <w:rPr>
          <w:rFonts w:cstheme="minorHAnsi"/>
        </w:rPr>
        <w:t xml:space="preserve"> (</w:t>
      </w:r>
      <w:proofErr w:type="spellStart"/>
      <w:r w:rsidR="001A0DE1" w:rsidRPr="001A0DE1">
        <w:rPr>
          <w:rFonts w:cstheme="minorHAnsi"/>
        </w:rPr>
        <w:t>GPIIIa</w:t>
      </w:r>
      <w:proofErr w:type="spellEnd"/>
      <w:r w:rsidR="001A0DE1" w:rsidRPr="001A0DE1">
        <w:rPr>
          <w:rFonts w:cstheme="minorHAnsi"/>
        </w:rPr>
        <w:t>)</w:t>
      </w:r>
      <w:r w:rsidR="001A0DE1" w:rsidRPr="00896348">
        <w:rPr>
          <w:rFonts w:cstheme="minorHAnsi"/>
        </w:rPr>
        <w:t xml:space="preserve"> and</w:t>
      </w:r>
      <w:r w:rsidR="00896348">
        <w:rPr>
          <w:rFonts w:cstheme="minorHAnsi"/>
        </w:rPr>
        <w:t xml:space="preserve"> </w:t>
      </w:r>
      <w:r w:rsidR="00896348" w:rsidRPr="00896348">
        <w:rPr>
          <w:rFonts w:cstheme="minorHAnsi"/>
        </w:rPr>
        <w:t> Angiotensin converting enzyme (</w:t>
      </w:r>
      <w:r w:rsidR="00896348" w:rsidRPr="00896348">
        <w:rPr>
          <w:rFonts w:cstheme="minorHAnsi"/>
        </w:rPr>
        <w:t>ACE</w:t>
      </w:r>
      <w:r w:rsidR="00896348" w:rsidRPr="00896348">
        <w:rPr>
          <w:rFonts w:cstheme="minorHAnsi"/>
        </w:rPr>
        <w:t>)</w:t>
      </w:r>
      <w:r w:rsidR="00896348">
        <w:rPr>
          <w:rFonts w:cstheme="minorHAnsi"/>
        </w:rPr>
        <w:t>. Such extended test is not supported by evidence-based guidelines as a routine test for RPL.</w:t>
      </w:r>
      <w:r w:rsidR="006C7DD2">
        <w:rPr>
          <w:rFonts w:cstheme="minorHAnsi"/>
        </w:rPr>
        <w:t xml:space="preserve"> Yet, this is a common practice in Gaza </w:t>
      </w:r>
      <w:r w:rsidR="005075E6">
        <w:rPr>
          <w:rFonts w:cstheme="minorHAnsi"/>
        </w:rPr>
        <w:t>in unexplained RPL.</w:t>
      </w:r>
      <w:r w:rsidR="004F0462">
        <w:rPr>
          <w:rFonts w:cstheme="minorHAnsi"/>
        </w:rPr>
        <w:t xml:space="preserve"> </w:t>
      </w:r>
      <w:r w:rsidR="005075E6">
        <w:rPr>
          <w:rFonts w:cstheme="minorHAnsi"/>
        </w:rPr>
        <w:t xml:space="preserve">It </w:t>
      </w:r>
      <w:r>
        <w:rPr>
          <w:rFonts w:cstheme="minorHAnsi"/>
        </w:rPr>
        <w:t>showed isolated Factor 13 Val34Leu mutation in case</w:t>
      </w:r>
      <w:r w:rsidR="003453E4">
        <w:rPr>
          <w:rFonts w:cstheme="minorHAnsi"/>
        </w:rPr>
        <w:t xml:space="preserve"> </w:t>
      </w:r>
      <w:r>
        <w:rPr>
          <w:rFonts w:cstheme="minorHAnsi"/>
        </w:rPr>
        <w:t xml:space="preserve">1, while it was combined with other minor mutations </w:t>
      </w:r>
      <w:r w:rsidR="00223319">
        <w:rPr>
          <w:rFonts w:cstheme="minorHAnsi"/>
        </w:rPr>
        <w:t xml:space="preserve">MTHFR and PAI </w:t>
      </w:r>
      <w:r w:rsidR="007C2636">
        <w:rPr>
          <w:rFonts w:cstheme="minorHAnsi"/>
        </w:rPr>
        <w:t>in case 2 and 3, respectively.</w:t>
      </w:r>
    </w:p>
    <w:p w14:paraId="5AF89A5E" w14:textId="77777777" w:rsidR="0092530A" w:rsidRPr="00375AD5" w:rsidRDefault="0092530A" w:rsidP="003753AA">
      <w:pPr>
        <w:pStyle w:val="Heading2"/>
      </w:pPr>
      <w:r w:rsidRPr="00375AD5">
        <w:t>Case 1</w:t>
      </w:r>
    </w:p>
    <w:p w14:paraId="0E46EB0F" w14:textId="618722B6" w:rsidR="0092530A" w:rsidRPr="00B246BB" w:rsidRDefault="0092530A" w:rsidP="0092530A">
      <w:pPr>
        <w:spacing w:line="240" w:lineRule="auto"/>
        <w:rPr>
          <w:rFonts w:cstheme="minorHAnsi"/>
        </w:rPr>
      </w:pPr>
      <w:r>
        <w:rPr>
          <w:rFonts w:cstheme="minorHAnsi"/>
        </w:rPr>
        <w:t>This was a case of 30-year-old female</w:t>
      </w:r>
      <w:r w:rsidR="003453E4">
        <w:rPr>
          <w:rFonts w:cstheme="minorHAnsi"/>
        </w:rPr>
        <w:t xml:space="preserve">, who </w:t>
      </w:r>
      <w:r>
        <w:rPr>
          <w:rFonts w:cstheme="minorHAnsi"/>
        </w:rPr>
        <w:t>was G10P4</w:t>
      </w:r>
      <w:r w:rsidRPr="009E6046">
        <w:rPr>
          <w:rFonts w:cstheme="minorHAnsi"/>
          <w:vertAlign w:val="superscript"/>
        </w:rPr>
        <w:t>+5</w:t>
      </w:r>
      <w:r>
        <w:rPr>
          <w:rFonts w:cstheme="minorHAnsi"/>
        </w:rPr>
        <w:t xml:space="preserve">. Her first pregnancy was at the age of 20, and it was complicated by unexplained Intrauterine Fetal Death (IUFD) at 40 weeks of gestation. This was followed by 3 consecutive </w:t>
      </w:r>
      <w:r w:rsidR="003453E4">
        <w:rPr>
          <w:rFonts w:cstheme="minorHAnsi"/>
        </w:rPr>
        <w:t>first</w:t>
      </w:r>
      <w:r>
        <w:rPr>
          <w:rFonts w:cstheme="minorHAnsi"/>
        </w:rPr>
        <w:t xml:space="preserve"> trimester miscarriages at age 21, 22, and 24. Following the three early miscarriage episodes, the patient presented to our clinic during her 5</w:t>
      </w:r>
      <w:r>
        <w:rPr>
          <w:rFonts w:cstheme="minorHAnsi"/>
          <w:vertAlign w:val="superscript"/>
        </w:rPr>
        <w:t>th</w:t>
      </w:r>
      <w:r>
        <w:rPr>
          <w:rFonts w:cstheme="minorHAnsi"/>
        </w:rPr>
        <w:t>, 6</w:t>
      </w:r>
      <w:r w:rsidRPr="00BF28C2">
        <w:rPr>
          <w:rFonts w:cstheme="minorHAnsi"/>
          <w:vertAlign w:val="superscript"/>
        </w:rPr>
        <w:t>rd</w:t>
      </w:r>
      <w:r>
        <w:rPr>
          <w:rFonts w:cstheme="minorHAnsi"/>
        </w:rPr>
        <w:t xml:space="preserve"> and 7</w:t>
      </w:r>
      <w:r w:rsidRPr="00BF28C2">
        <w:rPr>
          <w:rFonts w:cstheme="minorHAnsi"/>
          <w:vertAlign w:val="superscript"/>
        </w:rPr>
        <w:t>th</w:t>
      </w:r>
      <w:r>
        <w:rPr>
          <w:rFonts w:cstheme="minorHAnsi"/>
        </w:rPr>
        <w:t xml:space="preserve"> pregnancies which were all successful and the patient gave birth to three alive</w:t>
      </w:r>
      <w:r w:rsidRPr="00130182">
        <w:rPr>
          <w:rFonts w:cstheme="minorHAnsi"/>
        </w:rPr>
        <w:t xml:space="preserve"> male</w:t>
      </w:r>
      <w:r>
        <w:rPr>
          <w:rFonts w:cstheme="minorHAnsi"/>
        </w:rPr>
        <w:t xml:space="preserve"> babies with average </w:t>
      </w:r>
      <w:r w:rsidRPr="00130182">
        <w:rPr>
          <w:rFonts w:cstheme="minorHAnsi"/>
        </w:rPr>
        <w:t xml:space="preserve">weight of 3.24 </w:t>
      </w:r>
      <w:r>
        <w:rPr>
          <w:rFonts w:cstheme="minorHAnsi"/>
        </w:rPr>
        <w:t xml:space="preserve">kg, </w:t>
      </w:r>
      <w:r w:rsidR="001B1E8C">
        <w:rPr>
          <w:rFonts w:cstheme="minorHAnsi"/>
        </w:rPr>
        <w:t>all of whom</w:t>
      </w:r>
      <w:r>
        <w:rPr>
          <w:rFonts w:cstheme="minorHAnsi"/>
        </w:rPr>
        <w:t xml:space="preserve"> are doing well with good health. She later suffered two other consecutive miscarriages (</w:t>
      </w:r>
      <w:r w:rsidR="001B1E8C">
        <w:rPr>
          <w:rFonts w:cstheme="minorHAnsi"/>
        </w:rPr>
        <w:t>p</w:t>
      </w:r>
      <w:r>
        <w:rPr>
          <w:rFonts w:cstheme="minorHAnsi"/>
        </w:rPr>
        <w:t>regnanc</w:t>
      </w:r>
      <w:r w:rsidR="001F0D75">
        <w:rPr>
          <w:rFonts w:cstheme="minorHAnsi"/>
        </w:rPr>
        <w:t>ies</w:t>
      </w:r>
      <w:r>
        <w:rPr>
          <w:rFonts w:cstheme="minorHAnsi"/>
        </w:rPr>
        <w:t xml:space="preserve"> 8 and 9). This had </w:t>
      </w:r>
      <w:r w:rsidR="001B1E8C">
        <w:rPr>
          <w:rFonts w:cstheme="minorHAnsi"/>
        </w:rPr>
        <w:t>alerted</w:t>
      </w:r>
      <w:r>
        <w:rPr>
          <w:rFonts w:cstheme="minorHAnsi"/>
        </w:rPr>
        <w:t xml:space="preserve"> us </w:t>
      </w:r>
      <w:r w:rsidR="001B1E8C">
        <w:rPr>
          <w:rFonts w:cstheme="minorHAnsi"/>
        </w:rPr>
        <w:t>to the</w:t>
      </w:r>
      <w:r>
        <w:rPr>
          <w:rFonts w:cstheme="minorHAnsi"/>
        </w:rPr>
        <w:t xml:space="preserve"> possibility of other abnormalities linked to her recent </w:t>
      </w:r>
      <w:r w:rsidRPr="005B5EAD">
        <w:rPr>
          <w:rFonts w:cstheme="minorHAnsi"/>
        </w:rPr>
        <w:t>miscarriages</w:t>
      </w:r>
      <w:r w:rsidR="00A860FF">
        <w:rPr>
          <w:rFonts w:cstheme="minorHAnsi"/>
        </w:rPr>
        <w:t xml:space="preserve"> as the total number reached 5 miscarriages</w:t>
      </w:r>
      <w:r w:rsidRPr="005B5EAD">
        <w:rPr>
          <w:rFonts w:cstheme="minorHAnsi"/>
        </w:rPr>
        <w:t xml:space="preserve">. Parental </w:t>
      </w:r>
      <w:r w:rsidR="002E37A1">
        <w:rPr>
          <w:rFonts w:cstheme="minorHAnsi"/>
        </w:rPr>
        <w:t>k</w:t>
      </w:r>
      <w:r w:rsidRPr="005B5EAD">
        <w:rPr>
          <w:rFonts w:cstheme="minorHAnsi"/>
        </w:rPr>
        <w:t xml:space="preserve">aryotyping was offered but not done due to financial reasons. Thrombophilia screen with Factor 13 Val34Leu mutation </w:t>
      </w:r>
      <w:r w:rsidR="002E37A1">
        <w:rPr>
          <w:rFonts w:cstheme="minorHAnsi"/>
        </w:rPr>
        <w:t>was</w:t>
      </w:r>
      <w:r w:rsidRPr="005B5EAD">
        <w:rPr>
          <w:rFonts w:cstheme="minorHAnsi"/>
        </w:rPr>
        <w:t xml:space="preserve"> requested that showed isolated Val34Leu homozygous mutation. </w:t>
      </w:r>
    </w:p>
    <w:p w14:paraId="51B448EF" w14:textId="77777777" w:rsidR="0092530A" w:rsidRPr="00375AD5" w:rsidRDefault="0092530A" w:rsidP="003753AA">
      <w:pPr>
        <w:pStyle w:val="Heading2"/>
      </w:pPr>
      <w:r w:rsidRPr="00375AD5">
        <w:lastRenderedPageBreak/>
        <w:t>Case 2</w:t>
      </w:r>
    </w:p>
    <w:p w14:paraId="2CB63614" w14:textId="4A8F24F0" w:rsidR="0092530A" w:rsidRPr="00A1557C" w:rsidRDefault="0092530A" w:rsidP="001C4D95">
      <w:pPr>
        <w:spacing w:line="240" w:lineRule="auto"/>
        <w:rPr>
          <w:rFonts w:cstheme="minorHAnsi"/>
        </w:rPr>
      </w:pPr>
      <w:r>
        <w:rPr>
          <w:rFonts w:cstheme="minorHAnsi"/>
        </w:rPr>
        <w:t>This was a case of 20-year old female</w:t>
      </w:r>
      <w:r w:rsidR="001B59CA">
        <w:rPr>
          <w:rFonts w:cstheme="minorHAnsi"/>
        </w:rPr>
        <w:t xml:space="preserve">, who </w:t>
      </w:r>
      <w:r>
        <w:rPr>
          <w:rFonts w:cstheme="minorHAnsi"/>
        </w:rPr>
        <w:t>was G4P0</w:t>
      </w:r>
      <w:r>
        <w:rPr>
          <w:rFonts w:cstheme="minorHAnsi"/>
          <w:vertAlign w:val="superscript"/>
        </w:rPr>
        <w:t>+3</w:t>
      </w:r>
      <w:r>
        <w:rPr>
          <w:rFonts w:cstheme="minorHAnsi"/>
        </w:rPr>
        <w:t xml:space="preserve">. The first 2 miscarriages were in the </w:t>
      </w:r>
      <w:r w:rsidR="001B59CA">
        <w:rPr>
          <w:rFonts w:cstheme="minorHAnsi"/>
        </w:rPr>
        <w:t>first</w:t>
      </w:r>
      <w:r>
        <w:rPr>
          <w:rFonts w:cstheme="minorHAnsi"/>
        </w:rPr>
        <w:t xml:space="preserve"> trimester. The third one was a missed miscarriage at 19 weeks gestation. Thrombophilia screen was</w:t>
      </w:r>
      <w:r w:rsidR="00C63B69">
        <w:rPr>
          <w:rFonts w:cstheme="minorHAnsi"/>
        </w:rPr>
        <w:t xml:space="preserve"> done and showed</w:t>
      </w:r>
      <w:r w:rsidR="001B59CA">
        <w:rPr>
          <w:rFonts w:cstheme="minorHAnsi"/>
        </w:rPr>
        <w:t xml:space="preserve"> </w:t>
      </w:r>
      <w:r w:rsidR="00C63B69">
        <w:rPr>
          <w:rFonts w:cstheme="minorHAnsi"/>
        </w:rPr>
        <w:t>minor,</w:t>
      </w:r>
      <w:r>
        <w:rPr>
          <w:rFonts w:cstheme="minorHAnsi"/>
        </w:rPr>
        <w:t xml:space="preserve"> </w:t>
      </w:r>
      <w:r w:rsidR="009666C6">
        <w:rPr>
          <w:rFonts w:cstheme="minorHAnsi"/>
        </w:rPr>
        <w:t>hetero</w:t>
      </w:r>
      <w:r w:rsidR="00C63B69">
        <w:rPr>
          <w:rFonts w:cstheme="minorHAnsi"/>
        </w:rPr>
        <w:t>zygous</w:t>
      </w:r>
      <w:r w:rsidR="009666C6">
        <w:rPr>
          <w:rFonts w:cstheme="minorHAnsi"/>
        </w:rPr>
        <w:t xml:space="preserve"> </w:t>
      </w:r>
      <w:r w:rsidR="007806EB">
        <w:rPr>
          <w:rFonts w:cstheme="minorHAnsi"/>
        </w:rPr>
        <w:t>defect</w:t>
      </w:r>
      <w:r w:rsidR="00EA0981">
        <w:rPr>
          <w:rFonts w:cstheme="minorHAnsi"/>
        </w:rPr>
        <w:t xml:space="preserve"> in MTHFR and PAI</w:t>
      </w:r>
      <w:r w:rsidR="001C4D95">
        <w:rPr>
          <w:rFonts w:cstheme="minorHAnsi"/>
        </w:rPr>
        <w:t>-1. Her extended test also revealed H</w:t>
      </w:r>
      <w:r w:rsidR="001C4D95">
        <w:rPr>
          <w:rFonts w:cstheme="minorHAnsi"/>
        </w:rPr>
        <w:t>omozygous Factor 13 Val34Leu mutation</w:t>
      </w:r>
      <w:r w:rsidR="000236AA">
        <w:rPr>
          <w:rFonts w:cstheme="minorHAnsi"/>
        </w:rPr>
        <w:t xml:space="preserve">. </w:t>
      </w:r>
      <w:r>
        <w:rPr>
          <w:rFonts w:cstheme="minorHAnsi"/>
        </w:rPr>
        <w:t>No uterine anomalies were reported on Hysterosalpingo</w:t>
      </w:r>
      <w:r w:rsidR="002E37A1">
        <w:rPr>
          <w:rFonts w:cstheme="minorHAnsi"/>
        </w:rPr>
        <w:t>g</w:t>
      </w:r>
      <w:r>
        <w:rPr>
          <w:rFonts w:cstheme="minorHAnsi"/>
        </w:rPr>
        <w:t>ram</w:t>
      </w:r>
      <w:r w:rsidR="00110DCB">
        <w:rPr>
          <w:rFonts w:cstheme="minorHAnsi"/>
        </w:rPr>
        <w:t xml:space="preserve"> (HSG)</w:t>
      </w:r>
      <w:r w:rsidR="002E37A1">
        <w:rPr>
          <w:rFonts w:cstheme="minorHAnsi"/>
        </w:rPr>
        <w:t>.</w:t>
      </w:r>
      <w:r>
        <w:rPr>
          <w:rFonts w:cstheme="minorHAnsi"/>
        </w:rPr>
        <w:t xml:space="preserve"> APS antibodies, done twice 12 weeks apart, were negative. No signs of cervical insufficiency were reported during evaluation. This pregnancy was complicated by early pregnancy bleeding which was uneventful and stopped spontaneously at 8 weeks gestation. </w:t>
      </w:r>
      <w:r w:rsidR="00AD46D8">
        <w:rPr>
          <w:rFonts w:cstheme="minorHAnsi"/>
        </w:rPr>
        <w:t xml:space="preserve"> She received FFP</w:t>
      </w:r>
      <w:r w:rsidR="00A16E07">
        <w:rPr>
          <w:rFonts w:cstheme="minorHAnsi"/>
        </w:rPr>
        <w:t xml:space="preserve"> the same way</w:t>
      </w:r>
      <w:r w:rsidR="00AD46D8">
        <w:rPr>
          <w:rFonts w:cstheme="minorHAnsi"/>
        </w:rPr>
        <w:t xml:space="preserve"> as she was found to have homozygous </w:t>
      </w:r>
      <w:r w:rsidR="00AD46D8" w:rsidRPr="00781A53">
        <w:t>Factor XIII</w:t>
      </w:r>
      <w:r w:rsidR="00AD46D8">
        <w:t xml:space="preserve"> VAL34Leu mutation</w:t>
      </w:r>
      <w:r w:rsidR="00A16E07">
        <w:t xml:space="preserve"> during current pregnancy</w:t>
      </w:r>
      <w:r w:rsidR="00AD46D8">
        <w:t>.</w:t>
      </w:r>
    </w:p>
    <w:p w14:paraId="654564E5" w14:textId="77777777" w:rsidR="0092530A" w:rsidRPr="00375AD5" w:rsidRDefault="0092530A" w:rsidP="003753AA">
      <w:pPr>
        <w:pStyle w:val="Heading2"/>
      </w:pPr>
      <w:r w:rsidRPr="00375AD5">
        <w:t>Case 3</w:t>
      </w:r>
    </w:p>
    <w:p w14:paraId="323C97E8" w14:textId="558090BD" w:rsidR="0092530A" w:rsidRPr="00E56071" w:rsidRDefault="0092530A" w:rsidP="00F6329B">
      <w:pPr>
        <w:spacing w:line="240" w:lineRule="auto"/>
        <w:rPr>
          <w:rFonts w:cstheme="minorHAnsi"/>
        </w:rPr>
      </w:pPr>
      <w:r>
        <w:rPr>
          <w:rFonts w:cstheme="minorHAnsi"/>
        </w:rPr>
        <w:t>This was a 26-year old female</w:t>
      </w:r>
      <w:r w:rsidR="0022767C">
        <w:rPr>
          <w:rFonts w:cstheme="minorHAnsi"/>
        </w:rPr>
        <w:t>, who</w:t>
      </w:r>
      <w:r>
        <w:rPr>
          <w:rFonts w:cstheme="minorHAnsi"/>
        </w:rPr>
        <w:t xml:space="preserve"> was G4P1</w:t>
      </w:r>
      <w:r w:rsidRPr="001E1366">
        <w:rPr>
          <w:rFonts w:cstheme="minorHAnsi"/>
          <w:vertAlign w:val="superscript"/>
        </w:rPr>
        <w:t>+2</w:t>
      </w:r>
      <w:r>
        <w:rPr>
          <w:rFonts w:cstheme="minorHAnsi"/>
        </w:rPr>
        <w:t>. She had two consecutive</w:t>
      </w:r>
      <w:r w:rsidR="0022767C">
        <w:rPr>
          <w:rFonts w:cstheme="minorHAnsi"/>
        </w:rPr>
        <w:t xml:space="preserve"> first</w:t>
      </w:r>
      <w:r>
        <w:rPr>
          <w:rFonts w:cstheme="minorHAnsi"/>
        </w:rPr>
        <w:t xml:space="preserve"> tri</w:t>
      </w:r>
      <w:r w:rsidR="00110DCB">
        <w:rPr>
          <w:rFonts w:cstheme="minorHAnsi"/>
        </w:rPr>
        <w:t xml:space="preserve">mester miscarriages followed </w:t>
      </w:r>
      <w:r>
        <w:rPr>
          <w:rFonts w:cstheme="minorHAnsi"/>
        </w:rPr>
        <w:t>a spontaneous normal vaginal delivery of</w:t>
      </w:r>
      <w:r w:rsidR="0022767C">
        <w:rPr>
          <w:rFonts w:cstheme="minorHAnsi"/>
        </w:rPr>
        <w:t xml:space="preserve"> an</w:t>
      </w:r>
      <w:r>
        <w:rPr>
          <w:rFonts w:cstheme="minorHAnsi"/>
        </w:rPr>
        <w:t xml:space="preserve"> </w:t>
      </w:r>
      <w:proofErr w:type="gramStart"/>
      <w:r>
        <w:rPr>
          <w:rFonts w:cstheme="minorHAnsi"/>
        </w:rPr>
        <w:t>alive</w:t>
      </w:r>
      <w:proofErr w:type="gramEnd"/>
      <w:r>
        <w:rPr>
          <w:rFonts w:cstheme="minorHAnsi"/>
        </w:rPr>
        <w:t xml:space="preserve"> male baby</w:t>
      </w:r>
      <w:r w:rsidR="00985DEB">
        <w:rPr>
          <w:rFonts w:cstheme="minorHAnsi"/>
        </w:rPr>
        <w:t xml:space="preserve"> weighing</w:t>
      </w:r>
      <w:r>
        <w:rPr>
          <w:rFonts w:cstheme="minorHAnsi"/>
        </w:rPr>
        <w:t xml:space="preserve"> 3.2kg. </w:t>
      </w:r>
      <w:r w:rsidR="00D3116D">
        <w:rPr>
          <w:rFonts w:cstheme="minorHAnsi"/>
        </w:rPr>
        <w:t>A</w:t>
      </w:r>
      <w:r w:rsidR="00D3116D">
        <w:rPr>
          <w:rFonts w:cstheme="minorHAnsi"/>
        </w:rPr>
        <w:t xml:space="preserve">lthough unindicted, </w:t>
      </w:r>
      <w:r w:rsidR="00D3116D">
        <w:rPr>
          <w:rFonts w:cstheme="minorHAnsi"/>
        </w:rPr>
        <w:t>du</w:t>
      </w:r>
      <w:r>
        <w:rPr>
          <w:rFonts w:cstheme="minorHAnsi"/>
        </w:rPr>
        <w:t>ring</w:t>
      </w:r>
      <w:r w:rsidR="00523094">
        <w:rPr>
          <w:rFonts w:cstheme="minorHAnsi"/>
        </w:rPr>
        <w:t xml:space="preserve"> her previous</w:t>
      </w:r>
      <w:r>
        <w:rPr>
          <w:rFonts w:cstheme="minorHAnsi"/>
        </w:rPr>
        <w:t xml:space="preserve"> pregnancy, she was </w:t>
      </w:r>
      <w:r w:rsidR="00AD46D8">
        <w:rPr>
          <w:rFonts w:cstheme="minorHAnsi"/>
        </w:rPr>
        <w:t>commenced on Heparin injections, before presenting to our clinic</w:t>
      </w:r>
      <w:r>
        <w:rPr>
          <w:rFonts w:cstheme="minorHAnsi"/>
        </w:rPr>
        <w:t xml:space="preserve">. </w:t>
      </w:r>
      <w:r w:rsidR="00D3116D">
        <w:rPr>
          <w:rFonts w:cstheme="minorHAnsi"/>
        </w:rPr>
        <w:t xml:space="preserve">This treatment was abandoned and FFP </w:t>
      </w:r>
      <w:r w:rsidR="0022767C">
        <w:rPr>
          <w:rFonts w:cstheme="minorHAnsi"/>
        </w:rPr>
        <w:t xml:space="preserve">was added </w:t>
      </w:r>
      <w:r>
        <w:rPr>
          <w:rFonts w:cstheme="minorHAnsi"/>
        </w:rPr>
        <w:t>as the main treatment strategy based on Factor 13 mutation result.</w:t>
      </w:r>
      <w:r w:rsidR="003209AF">
        <w:rPr>
          <w:rFonts w:cstheme="minorHAnsi"/>
        </w:rPr>
        <w:t xml:space="preserve"> Having a previous successful pregnancy does not eliminate the fact that </w:t>
      </w:r>
      <w:r w:rsidR="00354708">
        <w:rPr>
          <w:rFonts w:cstheme="minorHAnsi"/>
        </w:rPr>
        <w:t>she has no proven risk for v</w:t>
      </w:r>
      <w:r w:rsidR="003209AF">
        <w:rPr>
          <w:rFonts w:cstheme="minorHAnsi"/>
        </w:rPr>
        <w:t xml:space="preserve">enous thromboembolism (VTE) and anticoagulant therapy </w:t>
      </w:r>
      <w:r w:rsidR="00F6329B">
        <w:rPr>
          <w:rFonts w:cstheme="minorHAnsi"/>
        </w:rPr>
        <w:t>was</w:t>
      </w:r>
      <w:r w:rsidR="003209AF">
        <w:rPr>
          <w:rFonts w:cstheme="minorHAnsi"/>
        </w:rPr>
        <w:t xml:space="preserve"> not the appropriate management for her case. Her thrombophilia screen was requested 3 years ago after having her 1</w:t>
      </w:r>
      <w:r w:rsidR="003209AF" w:rsidRPr="003209AF">
        <w:rPr>
          <w:rFonts w:cstheme="minorHAnsi"/>
          <w:vertAlign w:val="superscript"/>
        </w:rPr>
        <w:t>st</w:t>
      </w:r>
      <w:r w:rsidR="003209AF">
        <w:rPr>
          <w:rFonts w:cstheme="minorHAnsi"/>
        </w:rPr>
        <w:t xml:space="preserve"> two miscarriages. The extended test was the one </w:t>
      </w:r>
      <w:r w:rsidR="00F6329B">
        <w:rPr>
          <w:rFonts w:cstheme="minorHAnsi"/>
        </w:rPr>
        <w:t xml:space="preserve">that </w:t>
      </w:r>
      <w:r w:rsidR="003209AF">
        <w:rPr>
          <w:rFonts w:cstheme="minorHAnsi"/>
        </w:rPr>
        <w:t>she had.</w:t>
      </w:r>
    </w:p>
    <w:p w14:paraId="4ED3BD89" w14:textId="77777777" w:rsidR="0092530A" w:rsidRDefault="0092530A" w:rsidP="0092530A">
      <w:pPr>
        <w:spacing w:line="240" w:lineRule="auto"/>
        <w:rPr>
          <w:b/>
          <w:bCs/>
        </w:rPr>
      </w:pPr>
    </w:p>
    <w:p w14:paraId="2C1B20CA" w14:textId="6A77E6C0" w:rsidR="0092530A" w:rsidRPr="00985DEB" w:rsidRDefault="0092530A" w:rsidP="003753AA">
      <w:pPr>
        <w:pStyle w:val="Heading1"/>
      </w:pPr>
      <w:r w:rsidRPr="00985DEB">
        <w:t>Discussion</w:t>
      </w:r>
      <w:r w:rsidR="00336253">
        <w:t xml:space="preserve"> and Conclusions</w:t>
      </w:r>
    </w:p>
    <w:p w14:paraId="27C5AE11" w14:textId="60A3871E" w:rsidR="0092530A" w:rsidRDefault="0092530A" w:rsidP="0092530A">
      <w:pPr>
        <w:spacing w:line="240" w:lineRule="auto"/>
      </w:pPr>
      <w:r>
        <w:t>RPL is a common problem that faces obstetricians and a problem that is especially distressing for couples. The causes of RPL vary widely. Among the causes are defects in the coagulation process and/or the coagulation factors. One rare mutation that is thought to attribute to unexplained RPL is the homozygous Factor XIII Val34Leu mutation</w:t>
      </w:r>
      <w:r w:rsidR="00A17D89">
        <w:t xml:space="preserve">; </w:t>
      </w:r>
      <w:r w:rsidR="00A17D89" w:rsidRPr="007B24A9">
        <w:t>yet, its role has not been well established</w:t>
      </w:r>
      <w:r w:rsidR="007B24A9" w:rsidRPr="007B24A9">
        <w:fldChar w:fldCharType="begin" w:fldLock="1"/>
      </w:r>
      <w:r w:rsidR="007B24A9" w:rsidRPr="007B24A9">
        <w:instrText>ADDIN CSL_CITATION {"citationItems":[{"id":"ITEM-1","itemData":{"DOI":"10.1007/s10815-013-0071-5","ISSN":"10580468","PMID":"23989998","abstract":"Purpose: To determine whether the Factor V (1691G/A), Factor V HR2 (4070A/G), Prothrombin (20210G/A), PAI-1 (-675 I/D, 5G/4G), ACE (intron 16 I/D), Factor VII (Gln353Arg), Factor XIII (Val34Leu), β-fibrinogen (-455G/A), Glycoprotein Ia (807C/T), tPA (intron 8 D/I) gene mutations could be risk factors for recurrent pregnancy loss (RPL). Methods: Genotyping of thrombophilic gene mutations were carried out by amplification Refractory Mutation System-PCR (ARMS-PCR) method after DNA extraction. Results: We found that the mutant allele frequencies of Factor V (1691G/A), Factor V HR2 (4070A/G), Prothrombin (20210G/A), PAI-1 (-675 I/D, 5G/4G), Factor XIII (Val34Leu) and β-fibrinogen (-455G/A) were more seen in the case group compared with the healthy control; However, the difference between the two group is not statistically significant (p &gt; 0.05). Whilst the mutant allele frequencies of other studied genes were lower in the case in comparison to the fertile control women (p &gt; 0.05). Conclusion: Taken together, our data has shown that the prevalence of thrombophilic gene mutations was similar in women with RPL and healthy controls. Therefore, it appears that further studies on large-scale population and other genetic variants will be needed to conclusively find candidate genes for RPL unknown etiology in the future. © 2013 Springer Science+Business Media New York.","author":[{"dropping-particle":"","family":"Poursadegh Zonouzi","given":"Ahmad","non-dropping-particle":"","parse-names":false,"suffix":""},{"dropping-particle":"","family":"Chaparzadeh","given":"Nader","non-dropping-particle":"","parse-names":false,"suffix":""},{"dropping-particle":"","family":"Ghorbian","given":"Saeid","non-dropping-particle":"","parse-names":false,"suffix":""},{"dropping-particle":"","family":"Sadaghiani","given":"Mahzad Mehrzad","non-dropping-particle":"","parse-names":false,"suffix":""},{"dropping-particle":"","family":"Farzadi","given":"Laya","non-dropping-particle":"","parse-names":false,"suffix":""},{"dropping-particle":"","family":"Ghasemzadeh","given":"Alieh","non-dropping-particle":"","parse-names":false,"suffix":""},{"dropping-particle":"","family":"Kafshdooz","given":"Taiebeh","non-dropping-particle":"","parse-names":false,"suffix":""},{"dropping-particle":"","family":"Sakhinia","given":"Masoud","non-dropping-particle":"","parse-names":false,"suffix":""},{"dropping-particle":"","family":"Sakhinia","given":"Ebrahim","non-dropping-particle":"","parse-names":false,"suffix":""}],"container-title":"Journal of Assisted Reproduction and Genetics","id":"ITEM-1","issued":{"date-parts":[["2013"]]},"title":"The association between thrombophilic gene mutations and recurrent pregnancy loss","type":"article-journal"},"uris":["http://www.mendeley.com/documents/?uuid=9c9b9842-5468-473a-887e-078f843f6997"]}],"mendeley":{"formattedCitation":"[15]","plainTextFormattedCitation":"[15]"},"properties":{"noteIndex":0},"schema":"https://github.com/citation-style-language/schema/raw/master/csl-citation.json"}</w:instrText>
      </w:r>
      <w:r w:rsidR="007B24A9" w:rsidRPr="007B24A9">
        <w:fldChar w:fldCharType="separate"/>
      </w:r>
      <w:r w:rsidR="007B24A9" w:rsidRPr="007B24A9">
        <w:rPr>
          <w:noProof/>
        </w:rPr>
        <w:t>[15]</w:t>
      </w:r>
      <w:r w:rsidR="007B24A9" w:rsidRPr="007B24A9">
        <w:fldChar w:fldCharType="end"/>
      </w:r>
      <w:r w:rsidRPr="007B24A9">
        <w:t>. Limited</w:t>
      </w:r>
      <w:r>
        <w:t xml:space="preserve"> data exists in the literature with respect to effective and safe treatment of women with RPL</w:t>
      </w:r>
      <w:r w:rsidR="008B555D">
        <w:t xml:space="preserve"> who test positive for </w:t>
      </w:r>
      <w:r w:rsidRPr="00781A53">
        <w:t>Factor XIII Val34Leu</w:t>
      </w:r>
      <w:r>
        <w:t xml:space="preserve"> Polymorphism. In this case series, we report three cases who suffered unexplained RPL and who were homozygous for the Factor XIII Val34Leu mutations. All three were successfully treated using FFP. </w:t>
      </w:r>
    </w:p>
    <w:p w14:paraId="5091CB78" w14:textId="357FE70D" w:rsidR="007A5BE3" w:rsidRDefault="00D7123B" w:rsidP="00853862">
      <w:pPr>
        <w:spacing w:line="240" w:lineRule="auto"/>
      </w:pPr>
      <w:r>
        <w:t>E</w:t>
      </w:r>
      <w:r w:rsidR="0092530A">
        <w:t>arly in pregnancy, effective and functional placental formation depends mainly on the crucial balance between pro- and anti-fibrinolysis processes. A well-formed decidual invasion and function rely on this balance with no excess fibrinogen deposits that may hinder implantation and thus appropriate arrangement of placental plate.</w:t>
      </w:r>
    </w:p>
    <w:p w14:paraId="729E660B" w14:textId="2E40ABBF" w:rsidR="003F52FA" w:rsidRDefault="003F52FA" w:rsidP="003F52FA">
      <w:pPr>
        <w:spacing w:line="240" w:lineRule="auto"/>
      </w:pPr>
      <w:r>
        <w:t xml:space="preserve">We started treating patients after explaining the treating protocol, which is illustrated in figure 1. The </w:t>
      </w:r>
      <w:r w:rsidR="00EE58C1" w:rsidRPr="00DE2D1C">
        <w:t xml:space="preserve">proposed </w:t>
      </w:r>
      <w:r w:rsidRPr="00DE2D1C">
        <w:t>protocol was to</w:t>
      </w:r>
      <w:r>
        <w:t xml:space="preserve"> give the first dose, one pack of FFP, as soon as the serum pregnancy test shows positive result. The second dose would be given later when positive fetal heart beat is evident on </w:t>
      </w:r>
      <w:proofErr w:type="spellStart"/>
      <w:r>
        <w:t>transvaginal</w:t>
      </w:r>
      <w:proofErr w:type="spellEnd"/>
      <w:r>
        <w:t xml:space="preserve"> ultrasound scan. Following the first two packs, our regimen consisted of one unit of 250 ml of FFP administered every 4 weeks until the time of delivery. Patients </w:t>
      </w:r>
      <w:r w:rsidR="00A02C3C">
        <w:t xml:space="preserve">were followed in </w:t>
      </w:r>
      <w:r>
        <w:t xml:space="preserve">the high-risk pregnancy clinic </w:t>
      </w:r>
      <w:r w:rsidR="00A02C3C">
        <w:t xml:space="preserve">and were seen </w:t>
      </w:r>
      <w:r>
        <w:t>once every four weeks</w:t>
      </w:r>
      <w:r w:rsidR="00A02C3C">
        <w:t xml:space="preserve"> until 28 weeks of gestation</w:t>
      </w:r>
      <w:r>
        <w:t>.</w:t>
      </w:r>
      <w:r w:rsidR="00A02C3C">
        <w:t xml:space="preserve"> From then until 36 weeks, patients were seen every two weeks, after which patients were see</w:t>
      </w:r>
      <w:r w:rsidR="00A0073D">
        <w:t>n</w:t>
      </w:r>
      <w:r w:rsidR="00A02C3C">
        <w:t xml:space="preserve"> on a weekly basis until their delivery.</w:t>
      </w:r>
      <w:r>
        <w:t xml:space="preserve"> </w:t>
      </w:r>
    </w:p>
    <w:p w14:paraId="412DBC6C" w14:textId="77777777" w:rsidR="000D1F6A" w:rsidRDefault="003F52FA" w:rsidP="003F52FA">
      <w:pPr>
        <w:spacing w:line="240" w:lineRule="auto"/>
        <w:rPr>
          <w:color w:val="000000"/>
          <w:shd w:val="clear" w:color="auto" w:fill="FFFFFF"/>
        </w:rPr>
      </w:pPr>
      <w:r>
        <w:rPr>
          <w:color w:val="000000"/>
          <w:shd w:val="clear" w:color="auto" w:fill="FFFFFF"/>
        </w:rPr>
        <w:lastRenderedPageBreak/>
        <w:t xml:space="preserve">Case 1 and case 2 were admitted electively for lower segment cesarean section (LUCS) as they had history of previous three and one LUCSs, respectively. Case 2 refused a trial of vaginal birth after cesarean after counseling. Case 1 gave birth to an </w:t>
      </w:r>
      <w:proofErr w:type="gramStart"/>
      <w:r>
        <w:rPr>
          <w:color w:val="000000"/>
          <w:shd w:val="clear" w:color="auto" w:fill="FFFFFF"/>
        </w:rPr>
        <w:t>alive</w:t>
      </w:r>
      <w:proofErr w:type="gramEnd"/>
      <w:r>
        <w:rPr>
          <w:color w:val="000000"/>
          <w:shd w:val="clear" w:color="auto" w:fill="FFFFFF"/>
        </w:rPr>
        <w:t xml:space="preserve"> female baby weighing 3.4 kg and Case 2 gave birth to an alive female baby weighing 3 kg. Both babies </w:t>
      </w:r>
      <w:r w:rsidR="000D1F6A">
        <w:rPr>
          <w:color w:val="000000"/>
          <w:shd w:val="clear" w:color="auto" w:fill="FFFFFF"/>
        </w:rPr>
        <w:t>had</w:t>
      </w:r>
      <w:r>
        <w:rPr>
          <w:color w:val="000000"/>
          <w:shd w:val="clear" w:color="auto" w:fill="FFFFFF"/>
        </w:rPr>
        <w:t xml:space="preserve"> good general health </w:t>
      </w:r>
      <w:r w:rsidR="000D1F6A">
        <w:rPr>
          <w:color w:val="000000"/>
          <w:shd w:val="clear" w:color="auto" w:fill="FFFFFF"/>
        </w:rPr>
        <w:t xml:space="preserve">and were not admitted to the </w:t>
      </w:r>
      <w:r>
        <w:rPr>
          <w:color w:val="000000"/>
          <w:shd w:val="clear" w:color="auto" w:fill="FFFFFF"/>
        </w:rPr>
        <w:t xml:space="preserve">Neonatal Intensive Care Unit (NICU). </w:t>
      </w:r>
      <w:r w:rsidR="000D1F6A">
        <w:rPr>
          <w:color w:val="000000"/>
          <w:shd w:val="clear" w:color="auto" w:fill="FFFFFF"/>
        </w:rPr>
        <w:t>There was n</w:t>
      </w:r>
      <w:r>
        <w:rPr>
          <w:color w:val="000000"/>
          <w:shd w:val="clear" w:color="auto" w:fill="FFFFFF"/>
        </w:rPr>
        <w:t>o history of postpartum complications.</w:t>
      </w:r>
    </w:p>
    <w:p w14:paraId="08CD88E0" w14:textId="77777777" w:rsidR="00493129" w:rsidRDefault="003F52FA" w:rsidP="003F52FA">
      <w:pPr>
        <w:spacing w:line="240" w:lineRule="auto"/>
      </w:pPr>
      <w:r>
        <w:rPr>
          <w:color w:val="000000"/>
          <w:shd w:val="clear" w:color="auto" w:fill="FFFFFF"/>
        </w:rPr>
        <w:t xml:space="preserve">Case 3 was admitted to the hospital due to labor pain. She progressed spontaneously into fully dilated cervix with no head descend. She urgently underwent LUCS. She gave birth to </w:t>
      </w:r>
      <w:proofErr w:type="gramStart"/>
      <w:r>
        <w:rPr>
          <w:color w:val="000000"/>
          <w:shd w:val="clear" w:color="auto" w:fill="FFFFFF"/>
        </w:rPr>
        <w:t>alive</w:t>
      </w:r>
      <w:proofErr w:type="gramEnd"/>
      <w:r>
        <w:rPr>
          <w:color w:val="000000"/>
          <w:shd w:val="clear" w:color="auto" w:fill="FFFFFF"/>
        </w:rPr>
        <w:t xml:space="preserve"> male baby weighing 4.2 kg. The baby needed oxygen therapy for which he was admitted to NICU for two days. The baby was followed up in one- and two- month period, and he was doing well with normal weight gain and growth milestones. The patient subsequently presented to the hospital 10 days later as a case of wound infection for which she was treated with broad spectrum antibiotics. The infection completely subsided after one week of treatment.</w:t>
      </w:r>
      <w:r w:rsidR="00493129" w:rsidRPr="00493129">
        <w:t xml:space="preserve"> </w:t>
      </w:r>
    </w:p>
    <w:p w14:paraId="19D5C4D8" w14:textId="4583D2FD" w:rsidR="006448F5" w:rsidRPr="00F233EB" w:rsidRDefault="006448F5" w:rsidP="00F233EB">
      <w:pPr>
        <w:spacing w:line="240" w:lineRule="auto"/>
        <w:rPr>
          <w:color w:val="000000"/>
          <w:shd w:val="clear" w:color="auto" w:fill="FFFFFF"/>
        </w:rPr>
      </w:pPr>
      <w:r>
        <w:t xml:space="preserve">Coagulation factor XIII is responsible for fibrin cross linkage thus stabilizing thrombus formation in its final stages. Factor deficiency is a rare bleeding disorder with a worldwide incidence of 1 per 2 million </w:t>
      </w:r>
      <w:r>
        <w:fldChar w:fldCharType="begin" w:fldLock="1"/>
      </w:r>
      <w:r w:rsidR="007B24A9">
        <w:instrText>ADDIN CSL_CITATION {"citationItems":[{"id":"ITEM-1","itemData":{"DOI":"10.1093/labmed/lmw021","ISSN":"19437730","PMID":"27346867","abstract":"Factor XIII (FXIII) deficiency is an extremely rare bleeding disorder with an approximately 12-times higher than the rest of the world. The International Society for Thrombosis and Hemostasis (ISTH) suggested a standard algorithm for precise diagnosis and classification of FXIII deficiency (FXIIID). However, due to lack of investment in proper equipment and procedures in Iran, almost no part of this algorithm can be used to diagnose Iranian patients. Thus, this study proposes a guideline for accurate molecular and laboratory diagnosis of FXIIID based on the available tools. Because this study suggests a simple and reliable algorithm for early diagnosis, it can therefore, reduce the rates of morbidity and mortality of FXIIID patients with this condition.","author":[{"dropping-particle":"","family":"Dorgalaleh","given":"Akbar","non-dropping-particle":"","parse-names":false,"suffix":""},{"dropping-particle":"","family":"Tabibian","given":"Shadi","non-dropping-particle":"","parse-names":false,"suffix":""},{"dropping-particle":"","family":"Shams","given":"Mahmood","non-dropping-particle":"","parse-names":false,"suffix":""},{"dropping-particle":"","family":"Tavasoli","given":"Behnaz","non-dropping-particle":"","parse-names":false,"suffix":""},{"dropping-particle":"","family":"Gheidishahran","given":"Maryam","non-dropping-particle":"","parse-names":false,"suffix":""},{"dropping-particle":"","family":"Shamsizadeh","given":"Morteza","non-dropping-particle":"","parse-names":false,"suffix":""}],"container-title":"Laboratory Medicine","id":"ITEM-1","issued":{"date-parts":[["2016"]]},"title":"Laboratory Diagnosis of Factor XIII Deficiency in Developing Countries: An Iranian Experience","type":"article-journal"},"uris":["http://www.mendeley.com/documents/?uuid=15620de0-3180-4c1c-b045-d055d467d297","http://www.mendeley.com/documents/?uuid=e9486074-091f-473d-a7d1-2f8d94e8ba5c"]}],"mendeley":{"formattedCitation":"[21]","plainTextFormattedCitation":"[21]","previouslyFormattedCitation":"[21]"},"properties":{"noteIndex":0},"schema":"https://github.com/citation-style-language/schema/raw/master/csl-citation.json"}</w:instrText>
      </w:r>
      <w:r>
        <w:fldChar w:fldCharType="separate"/>
      </w:r>
      <w:r w:rsidR="00666F95" w:rsidRPr="00666F95">
        <w:rPr>
          <w:noProof/>
        </w:rPr>
        <w:t>[21]</w:t>
      </w:r>
      <w:r>
        <w:fldChar w:fldCharType="end"/>
      </w:r>
      <w:r>
        <w:t xml:space="preserve">. Its association with pregnancy loss due to bleeding tendency with </w:t>
      </w:r>
      <w:proofErr w:type="spellStart"/>
      <w:r>
        <w:t>decidual</w:t>
      </w:r>
      <w:proofErr w:type="spellEnd"/>
      <w:r>
        <w:t xml:space="preserve"> hemorrhage has been well-established in the literature </w:t>
      </w:r>
      <w:r>
        <w:fldChar w:fldCharType="begin" w:fldLock="1"/>
      </w:r>
      <w:r w:rsidR="007B24A9">
        <w:instrText>ADDIN CSL_CITATION {"citationItems":[{"id":"ITEM-1","itemData":{"DOI":"10.1097/01.ogx.0000259176.03156.2b","ISSN":"00297828","PMID":"17371605","abstract":"Congenital deficiency of blood coagulation factor XIII is an uncommon, inherited disorder characterized by hemorrhagic diathesis, habitual abortions and defective wound healing. We analyzed 8 reported successful pregnancies in women with a congenital deficiency of A-subunit of factor XIII (XIIIA), in which the plasma level of maternal factor XIIIA and/or the precise replacement therapies are described. Because decidual bleeding usually begins from 5 to 6 weeks' gestation and, without replacement therapy, spontaneous abortion always occurs, we herein offer the following prenatal and peripartum management guidelines and observations: i) the level of plasma A-subunit of factor XIII antigen (XIIIA-Ag) or factor XIII activity (XIII-act) must be at least 2%-3%, and, if possible, higher than 10% to prevent decidual bleeding and miscarriage during the pregnancy; ii) factor XIIIA concentrate is better than fresh frozen plasma or cryoprecipitate for replacement therapy; iii) the administration of 250 international units (IU) every 7 days is sufficient to maintain the level of plasma XIIIA-Ag or XIII-act more than 10% in the early period of gestation (through 22 weeks' gestation); however, 500 IU every 7 days is indicated in the later period (from 23 weeks' gestation) to maintain that level; iv) during labor, the desired level of plasma XIIIA-Ag or XIII-act should be higher than 20%, and, if possible, higher than 30% in order to make ready for any risk of severe obstetrical hemorrhagic complications; thus a booster dose of 1000 IU is indicated before labor; v) no replacement therapy is necessary in the puerperium because it is usually uneventful without it. TARGET AUDIENCE: Obstetricians &amp; Gynecologists, Family Physicians LEARNING OBJECTIVES: After completion of this article, the reader should be able to recall that congenital deficiency of factor XIII is a rare inherited disorder that has adverse pregnancy outcomes if not recognized and treated and explain that replacement treatment with factor XIIIA during early pregnancy improves the pregnancy outcome, however the replacement therapy must be increased to maintain the recommended level of plasma XIII activity during pregnancy and labor. © 2007 Lippincott Williams &amp; Wilkins, Inc.","author":[{"dropping-particle":"","family":"Asahina","given":"Toshihiko","non-dropping-particle":"","parse-names":false,"suffix":""},{"dropping-particle":"","family":"Kobayashi","given":"Takao","non-dropping-particle":"","parse-names":false,"suffix":""},{"dropping-particle":"","family":"Takeuchi","given":"Kinya","non-dropping-particle":"","parse-names":false,"suffix":""},{"dropping-particle":"","family":"Kanayama","given":"Naohiro","non-dropping-particle":"","parse-names":false,"suffix":""}],"container-title":"Obstetrical and Gynecological Survey","id":"ITEM-1","issued":{"date-parts":[["2007"]]},"title":"Congenital blood coagulation factor XIII deficiency and successful deliveries: A review of the literature","type":"article"},"uris":["http://www.mendeley.com/documents/?uuid=6173c849-d415-4df3-8451-e1e221d10192","http://www.mendeley.com/documents/?uuid=efccf2e7-2f84-4b0f-bc7d-ca96533c3539"]},{"id":"ITEM-2","itemData":{"DOI":"10.1055/s-2003-38832","ISSN":"00946176","PMID":"12709920","abstract":"Of all the coagulation factor deficiencies, only deficiency of factor XIII (FXIII) and fibrinogen are associated with pregnancy loss. FXIII deficiency and a complete or partial deficiency of fibrinogen are associated with bleeding since childhood, impaired wound repair, and recurrent spontaneous abortions. Both FXIII and fibrinogen play an essential role in placental implantation and maintenance of pregnancy. The causes of miscarriages in FXIII or fibrinogen-deficient women is discussed and an appropriate treatment advocated.","author":[{"dropping-particle":"","family":"Inbal","given":"Aida","non-dropping-particle":"","parse-names":false,"suffix":""},{"dropping-particle":"","family":"Muszbek","given":"Laszlo","non-dropping-particle":"","parse-names":false,"suffix":""}],"container-title":"Seminars in Thrombosis and Hemostasis","id":"ITEM-2","issued":{"date-parts":[["2003"]]},"title":"Coagulation factor deficiencies and pregnancy loss","type":"article"},"uris":["http://www.mendeley.com/documents/?uuid=95bd4fb8-037d-4655-a819-13137270147f","http://www.mendeley.com/documents/?uuid=ae908abf-788e-450a-8971-a08d4857513b"]},{"id":"ITEM-3","itemData":{"DOI":"10.1111/jth.14126","ISSN":"15387836","PMID":"29665207","abstract":"Essentials Inherited factor XIII deficiency is a very rare bleeding disorder. We used recombinant factor XIII-A in a pregnant patient with factor XIII-A subunit deficiency. The patient had a successful pregnancy outcome with no pregnancy related complications. The dose of recombinant factor XIII-A was minimized by using frequent trough level monitoring. Summary: Inherited factor XIII deficiency is a very rare bleeding disorder, and is one of the causes of recurrent pregnancy loss. The use of plasma-derived FXIII to improve pregnancy outcomes has been reported. We report a 26-year-old woman with FXIII A-subunit (FXIII-A) deficiency who was treated with recombinant FXIII-A and had a successful pregnancy outcome with no pregnancy-related complications. Our case illustrates that the dose of recombinant FXIII-A can be minimized and adjusted on the basis of frequent trough level monitoring.","author":[{"dropping-particle":"","family":"Al-Khabori","given":"M.","non-dropping-particle":"","parse-names":false,"suffix":""},{"dropping-particle":"","family":"Pathare","given":"A.","non-dropping-particle":"","parse-names":false,"suffix":""},{"dropping-particle":"","family":"Menegatti","given":"M.","non-dropping-particle":"","parse-names":false,"suffix":""},{"dropping-particle":"","family":"Peyvandi","given":"F.","non-dropping-particle":"","parse-names":false,"suffix":""}],"container-title":"Journal of Thrombosis and Haemostasis","id":"ITEM-3","issued":{"date-parts":[["2018"]]},"title":"Recombinant factor XIII A-subunit in a patient with factor XIII deficiency and recurrent pregnancy loss","type":"article"},"uris":["http://www.mendeley.com/documents/?uuid=f57ae4e0-7de8-4233-818e-9beae7e286f2","http://www.mendeley.com/documents/?uuid=a5496019-f217-466f-bb1e-8e0f72a84d54"]}],"mendeley":{"formattedCitation":"[19,22,23]","plainTextFormattedCitation":"[19,22,23]","previouslyFormattedCitation":"[19,22,23]"},"properties":{"noteIndex":0},"schema":"https://github.com/citation-style-language/schema/raw/master/csl-citation.json"}</w:instrText>
      </w:r>
      <w:r>
        <w:fldChar w:fldCharType="separate"/>
      </w:r>
      <w:r w:rsidR="00666F95" w:rsidRPr="00666F95">
        <w:rPr>
          <w:noProof/>
          <w:lang w:val="en-GB"/>
        </w:rPr>
        <w:t>[19,22,23]</w:t>
      </w:r>
      <w:r>
        <w:fldChar w:fldCharType="end"/>
      </w:r>
      <w:r w:rsidRPr="00AC29A6">
        <w:rPr>
          <w:lang w:val="en-GB"/>
        </w:rPr>
        <w:t>.</w:t>
      </w:r>
      <w:r>
        <w:t xml:space="preserve"> The mainstay treatment of this condition during pregnancy is to give Factor XIII concentrate to prevent pregnancy </w:t>
      </w:r>
      <w:r w:rsidRPr="0050774F">
        <w:t>loss</w:t>
      </w:r>
      <w:r>
        <w:t xml:space="preserve"> </w:t>
      </w:r>
      <w:r w:rsidRPr="0050774F">
        <w:fldChar w:fldCharType="begin" w:fldLock="1"/>
      </w:r>
      <w:r w:rsidR="007B24A9">
        <w:instrText>ADDIN CSL_CITATION {"citationItems":[{"id":"ITEM-1","itemData":{"DOI":"10.12659/AJCR.901502","ISSN":"1941-5923","PMID":"28432284","abstract":"Objective: Rare disease Background: Factor XIII deficiency is associated with recurrent miscarriages in women. Case Report: In this report, we present a patient with factor XIII deficiency and some comorbidities who had had previous miscarriages. She began treatment with factor XIII subunit A (XIII-A) replacement treatment Recombinant factor XIII (Tretten) at a dose of 2500 units monthly and was able, for the first time, to carry a pregnancy almost to term. Although she experienced some obstetrical complications, she delivered a healthy baby. To the best of our knowledge, this is the first report of the use of Tretten during pregnancy. Conclusions: Tretten, which is not indicated in pregnancy, offered a safe, effective treatment for miscarriages secondary to factor XIII-A deficiency in our patient. Further research is required to confirm this finding.","author":[{"dropping-particle":"","family":"Abdel-Samad","given":"Nizar","non-dropping-particle":"","parse-names":false,"suffix":""},{"dropping-particle":"","family":"N.","given":"Abdel-Samad","non-dropping-particle":"","parse-names":false,"suffix":""}],"container-title":"American Journal of Case Reports","id":"ITEM-1","issued":{"date-parts":[["2017","4"]]},"page":"436-439","publisher":"International Scientific Information, Inc.","title":"Treatment with recombinant factor XIII (Tretten) in a pregnant woman with factor XIII deficiency","type":"article-journal","volume":"18"},"uris":["http://www.mendeley.com/documents/?uuid=dcd05d0f-3a4e-4635-b896-387c1868753d","http://www.mendeley.com/documents/?uuid=ea20918d-bac4-4395-a58f-c18444de2a2a"]}],"mendeley":{"formattedCitation":"[20]","plainTextFormattedCitation":"[20]","previouslyFormattedCitation":"[20]"},"properties":{"noteIndex":0},"schema":"https://github.com/citation-style-language/schema/raw/master/csl-citation.json"}</w:instrText>
      </w:r>
      <w:r w:rsidRPr="0050774F">
        <w:fldChar w:fldCharType="separate"/>
      </w:r>
      <w:r w:rsidR="00666F95" w:rsidRPr="00666F95">
        <w:rPr>
          <w:noProof/>
        </w:rPr>
        <w:t>[20]</w:t>
      </w:r>
      <w:r w:rsidRPr="0050774F">
        <w:fldChar w:fldCharType="end"/>
      </w:r>
      <w:r>
        <w:t>. Other</w:t>
      </w:r>
      <w:r>
        <w:rPr>
          <w:color w:val="000000"/>
          <w:shd w:val="clear" w:color="auto" w:fill="FFFFFF"/>
        </w:rPr>
        <w:t xml:space="preserve"> therapeutic options include FFP, Cryoprecipitate or Recombinant Factor </w:t>
      </w:r>
      <w:r>
        <w:t>XIII-A. The interval of administration varies depends on patient characteristics, severity of the condition and local protocols available.</w:t>
      </w:r>
    </w:p>
    <w:p w14:paraId="48665B9F" w14:textId="2D07375B" w:rsidR="006448F5" w:rsidRPr="006448F5" w:rsidRDefault="006448F5" w:rsidP="00D204DE">
      <w:pPr>
        <w:spacing w:line="240" w:lineRule="auto"/>
      </w:pPr>
      <w:r>
        <w:t xml:space="preserve">In Val34leu mutation, the actual level of Factor XIII is not lowered but it is the function that is affected. This manifests by forming loose, fragile and thin-reticulate thrombus with resistance to fibrinolysis </w:t>
      </w:r>
      <w:r>
        <w:fldChar w:fldCharType="begin" w:fldLock="1"/>
      </w:r>
      <w:r w:rsidR="00C81C5D">
        <w:instrText>ADDIN CSL_CITATION {"citationItems":[{"id":"ITEM-1","itemData":{"DOI":"10.1002/JCLA.21626","abstract":"Background: We have already described a significantly elevated overall risk for recurrent pregnancy loss (RPL) in women carrying the coagulation factor XIII (FXIII) Val34Leu and/or the plasminogen activator inhibitor-1 (PAI-1) 4G/5G polymorphism assuming that these polymorphisms contribute synergistically to RPL because of impaired hypofibrinolysis. Recent studies on FXIII indicate that the impact of the FXIII 34Leu genotype on fibrin structure and fibrinolysis is affected by fibrinogen concentration. Therefore, we reinvestigated the association between fibrinogen concentrations and FXIII Val34Leu with early RPL. Materials and Methods: In this case-control study, we enrolled 49 women with a history of two consecutive or three to six nonconsecutive pregnancy losses between the 8th and 12th week of gestation and 48 healthy controls. The risk for RPL in carriers of FXIII 34Leu at fibrinogen levels above or below the median and first tertile of controls was evaluated. Results: In carriers of the 34Leu allele, fibrinogen levels below the median (i.e., ≤300 mg/dl) and the first tertile (i.e., ≤284 mg/dl) of controls were associated with an increased risk for RPL [(2.9 (1.1-7.7), 3.9(1.0-15.0)]. Conclusions: The FXIII Val34Leu polymorphism may be associated with the development of early RPL in association with fibrinogen concentrations. At fibrinogen levels in the low normal range, FXIII 34Leu may modify fibrin structure toward an increased resistance to fibrinolysis. © 2013 Wiley Periodicals, Inc.","author":[{"dropping-particle":"","family":"Dossenbach-Glaninger","given":"Astrid","non-dropping-particle":"","parse-names":false,"suffix":""},{"dropping-particle":"","family":"Trotsenburg","given":"Mick","non-dropping-particle":"van","parse-names":false,"suffix":""},{"dropping-particle":"","family":"Oberkanins","given":"Christian","non-dropping-particle":"","parse-names":false,"suffix":""},{"dropping-particle":"","family":"Atamaniuk","given":"Johanna","non-dropping-particle":"","parse-names":false,"suffix":""}],"container-title":"Journal of Clinical Laboratory Analysis","id":"ITEM-1","issue":"6","issued":{"date-parts":[["2013","11"]]},"page":"444-449","title":"Risk for early pregnancy loss by factor XIII Val34Leu: The impact of fibrinogen concentration","type":"article-journal","volume":"27"},"uris":["http://www.mendeley.com/documents/?uuid=7aaa4720-2da7-30f3-a33e-e782958a8593"]}],"mendeley":{"formattedCitation":"[8]","plainTextFormattedCitation":"[8]","previouslyFormattedCitation":"[8]"},"properties":{"noteIndex":0},"schema":"https://github.com/citation-style-language/schema/raw/master/csl-citation.json"}</w:instrText>
      </w:r>
      <w:r>
        <w:fldChar w:fldCharType="separate"/>
      </w:r>
      <w:r w:rsidR="00020167" w:rsidRPr="00020167">
        <w:rPr>
          <w:noProof/>
        </w:rPr>
        <w:t>[8]</w:t>
      </w:r>
      <w:r>
        <w:fldChar w:fldCharType="end"/>
      </w:r>
      <w:r>
        <w:t xml:space="preserve">. Thus, we theoretically proposed that treating patients with FFP, which has 2- to 3- fold more concentration of Factor XIII than Cryoprecipitate </w:t>
      </w:r>
      <w:r>
        <w:fldChar w:fldCharType="begin" w:fldLock="1"/>
      </w:r>
      <w:r w:rsidR="00026495">
        <w:instrText>ADDIN CSL_CITATION {"citationItems":[{"id":"ITEM-1","itemData":{"DOI":"10.1111/j.1537-2995.2008.02021.x","ISSN":"00411132","PMID":"19192257","abstract":"BACKGROUND: For patients with plasma coagulation factor XIII (pFXIII) deficiency, recommended means of replacement include infusions of fresh-frozen plasma (FFP), cryoprecipitate, or (where available) factor (F)XIII concentrates. Quantitative differences in pFXIII concentration in FFP and cryoprecipitate are not well defined and were, therefore, the subject of this study. STUDY DESIGN AND METHODS: FFP and cryoprecipitate (10 bags each from blood group O donors) were analyzed to quantify pFXIII activity and antigen. Coagulation FVIII, fibrinogen, and von Willebrand factor (VWF) were also quantitated. RESULTS: Mean (±SD) pFXIII activity in cryoprecipitate and FFP bags was 60 ± 30 and 288 ± 77 U per bag, respectively, and pFXIII antigen and activity levels were concordant. Other comparisons (mean ± SD) between cryoprecipitate and FFP, respectively, were as follows: coagulation FVIII activity, 133 ± 37 and 265 ± 83 U per bag; fibrinogen content (Clauss kinetic assay), 183 ± 44 and 725 ± 199 mg per bag; VWF antigen content, 181 ± 53 and 218 ± 70 U per bag; VWF ristocetin cofactor activity, 168 ± 34 and 221 ± 65 U per bag; VWF collagen-binding activity, 164 ± 40 and 208 ± 71 U per bag; and fluid (plasma) volumes per bag, 21.3 ± 2.7 and 245 ± 29 mL. CONCLUSION: In contrast to other cryoprecipitable coagulation proteins, pFXIII is only mildly enriched in cryoprecipitate when compared with FFP (approx. two- to threefold). Although both products can provide effective pFXIII replacement, FFP may be preferred when infusion volume is not a major consideration and pFXIII concentrates are not available. VWF is substantially enriched in cryoprecipitate (approx. ninefold compared with its concentration in FFP), with VWF activity content exceeding that of FVIII by approximately 26 percent on average. © 2008 American Association of Blood Banks.","author":[{"dropping-particle":"","family":"Caudill","given":"Jonathan S.C.","non-dropping-particle":"","parse-names":false,"suffix":""},{"dropping-particle":"","family":"Nichols","given":"William L.","non-dropping-particle":"","parse-names":false,"suffix":""},{"dropping-particle":"","family":"Plumhoff","given":"Elizabeth A.","non-dropping-particle":"","parse-names":false,"suffix":""},{"dropping-particle":"","family":"Schulte","given":"Sandra L.","non-dropping-particle":"","parse-names":false,"suffix":""},{"dropping-particle":"","family":"Winters","given":"Jeffrey L.","non-dropping-particle":"","parse-names":false,"suffix":""},{"dropping-particle":"","family":"Gastineau","given":"Dennis A.","non-dropping-particle":"","parse-names":false,"suffix":""},{"dropping-particle":"","family":"Rodriguez","given":"Vilmarie","non-dropping-particle":"","parse-names":false,"suffix":""}],"container-title":"Transfusion","id":"ITEM-1","issued":{"date-parts":[["2009"]]},"title":"Comparison of coagulation factor XIII content and concentration in cryoprecipitate and fresh-frozen plasma","type":"article-journal"},"uris":["http://www.mendeley.com/documents/?uuid=60880cb4-fba1-45cd-b309-62de283dbadd"]}],"mendeley":{"formattedCitation":"[24]","plainTextFormattedCitation":"[24]","previouslyFormattedCitation":"[24]"},"properties":{"noteIndex":0},"schema":"https://github.com/citation-style-language/schema/raw/master/csl-citation.json"}</w:instrText>
      </w:r>
      <w:r>
        <w:fldChar w:fldCharType="separate"/>
      </w:r>
      <w:r w:rsidR="00C81C5D" w:rsidRPr="00C81C5D">
        <w:rPr>
          <w:noProof/>
        </w:rPr>
        <w:t>[24]</w:t>
      </w:r>
      <w:r>
        <w:fldChar w:fldCharType="end"/>
      </w:r>
      <w:r>
        <w:t>, will support early stages of placental formation and invasion by stabilizing thrombus formation with less resistance to fibrinolysis.</w:t>
      </w:r>
      <w:r w:rsidR="00157AA9">
        <w:t xml:space="preserve"> As it would have been posed the pregnancy to known outcome, FFP was continued until the end of pregnancy, although this protocol could be manipulated in the future after establishing an evidence-based international management protocol.</w:t>
      </w:r>
    </w:p>
    <w:p w14:paraId="6011C903" w14:textId="18A04AAD" w:rsidR="006448F5" w:rsidRDefault="006448F5" w:rsidP="006448F5">
      <w:pPr>
        <w:pStyle w:val="Heading2"/>
        <w:rPr>
          <w:shd w:val="clear" w:color="auto" w:fill="FFFFFF"/>
        </w:rPr>
      </w:pPr>
      <w:r>
        <w:rPr>
          <w:shd w:val="clear" w:color="auto" w:fill="FFFFFF"/>
        </w:rPr>
        <w:t>Conclusion</w:t>
      </w:r>
    </w:p>
    <w:p w14:paraId="23D38362" w14:textId="3DAE7846" w:rsidR="005235BB" w:rsidRDefault="003F52FA" w:rsidP="00B6140F">
      <w:pPr>
        <w:spacing w:line="240" w:lineRule="auto"/>
        <w:rPr>
          <w:color w:val="000000"/>
          <w:shd w:val="clear" w:color="auto" w:fill="FFFFFF"/>
        </w:rPr>
      </w:pPr>
      <w:r>
        <w:rPr>
          <w:color w:val="000000"/>
          <w:shd w:val="clear" w:color="auto" w:fill="FFFFFF"/>
        </w:rPr>
        <w:t xml:space="preserve">RPL is a common obstetrical condition worldwide that is problematic both for the clinicians and for the patients. There is a wide and </w:t>
      </w:r>
      <w:r w:rsidR="008F0724">
        <w:rPr>
          <w:color w:val="000000"/>
          <w:shd w:val="clear" w:color="auto" w:fill="FFFFFF"/>
        </w:rPr>
        <w:t>heterogeneous</w:t>
      </w:r>
      <w:r>
        <w:rPr>
          <w:color w:val="000000"/>
          <w:shd w:val="clear" w:color="auto" w:fill="FFFFFF"/>
        </w:rPr>
        <w:t xml:space="preserve"> array of causes and risk factors that may lead to RPL. This makes investigating and treating RPL especially challenging. Coagulation process and coagulation factors abnormalities are increasingly being recognized as part of the causes of RPL. </w:t>
      </w:r>
      <w:r w:rsidR="008F0724">
        <w:rPr>
          <w:color w:val="000000"/>
          <w:shd w:val="clear" w:color="auto" w:fill="FFFFFF"/>
        </w:rPr>
        <w:t xml:space="preserve">One mutation that </w:t>
      </w:r>
      <w:r w:rsidR="00B6140F">
        <w:rPr>
          <w:color w:val="000000"/>
          <w:shd w:val="clear" w:color="auto" w:fill="FFFFFF"/>
        </w:rPr>
        <w:t>could</w:t>
      </w:r>
      <w:r w:rsidR="008F0724">
        <w:rPr>
          <w:color w:val="000000"/>
          <w:shd w:val="clear" w:color="auto" w:fill="FFFFFF"/>
        </w:rPr>
        <w:t xml:space="preserve"> </w:t>
      </w:r>
      <w:r w:rsidR="00726B29">
        <w:rPr>
          <w:color w:val="000000"/>
          <w:shd w:val="clear" w:color="auto" w:fill="FFFFFF"/>
        </w:rPr>
        <w:t>be associated</w:t>
      </w:r>
      <w:r>
        <w:rPr>
          <w:color w:val="000000"/>
          <w:shd w:val="clear" w:color="auto" w:fill="FFFFFF"/>
        </w:rPr>
        <w:t xml:space="preserve"> with RPL is the Factor XIII Val34Leu homozygous polymorphism, which disrupts the normal placental invasion.</w:t>
      </w:r>
    </w:p>
    <w:p w14:paraId="21670BF0" w14:textId="13CA963D" w:rsidR="003F52FA" w:rsidRDefault="003F52FA" w:rsidP="00421682">
      <w:pPr>
        <w:spacing w:line="240" w:lineRule="auto"/>
        <w:rPr>
          <w:b/>
          <w:bCs/>
          <w:color w:val="000000"/>
          <w:shd w:val="clear" w:color="auto" w:fill="FFFFFF"/>
        </w:rPr>
      </w:pPr>
      <w:r>
        <w:rPr>
          <w:color w:val="000000"/>
          <w:shd w:val="clear" w:color="auto" w:fill="FFFFFF"/>
        </w:rPr>
        <w:t>We successfully managed three patients who suffered unexplained RPL, and who were found to have Factor XIII Val34Leu homozygous mutation. The three cases were treated using FFP with first dose given on confirmation of pregnancy, second dose given w</w:t>
      </w:r>
      <w:r w:rsidRPr="005235BB">
        <w:rPr>
          <w:color w:val="000000"/>
          <w:shd w:val="clear" w:color="auto" w:fill="FFFFFF"/>
        </w:rPr>
        <w:t>h</w:t>
      </w:r>
      <w:r>
        <w:rPr>
          <w:color w:val="000000"/>
          <w:shd w:val="clear" w:color="auto" w:fill="FFFFFF"/>
        </w:rPr>
        <w:t xml:space="preserve">en fetal heart beats were </w:t>
      </w:r>
      <w:r w:rsidR="00B42D69">
        <w:rPr>
          <w:color w:val="000000"/>
          <w:shd w:val="clear" w:color="auto" w:fill="FFFFFF"/>
        </w:rPr>
        <w:t>detected</w:t>
      </w:r>
      <w:r>
        <w:rPr>
          <w:color w:val="000000"/>
          <w:shd w:val="clear" w:color="auto" w:fill="FFFFFF"/>
        </w:rPr>
        <w:t xml:space="preserve"> and </w:t>
      </w:r>
      <w:r w:rsidR="005235BB">
        <w:rPr>
          <w:color w:val="000000"/>
          <w:shd w:val="clear" w:color="auto" w:fill="FFFFFF"/>
        </w:rPr>
        <w:t>fo</w:t>
      </w:r>
      <w:r w:rsidR="005235BB" w:rsidRPr="005235BB">
        <w:rPr>
          <w:color w:val="000000"/>
          <w:shd w:val="clear" w:color="auto" w:fill="FFFFFF"/>
        </w:rPr>
        <w:t>ur-</w:t>
      </w:r>
      <w:r w:rsidRPr="005235BB">
        <w:rPr>
          <w:color w:val="000000"/>
          <w:shd w:val="clear" w:color="auto" w:fill="FFFFFF"/>
        </w:rPr>
        <w:t>weekly doses from thereafter.</w:t>
      </w:r>
      <w:r>
        <w:rPr>
          <w:color w:val="000000"/>
          <w:shd w:val="clear" w:color="auto" w:fill="FFFFFF"/>
        </w:rPr>
        <w:t xml:space="preserve"> The dose represents one unit of 250 ml of FFP. All three cases delivered normally, and the babies were eventually healthy at discharge. Our report suggests a treatment option which is effective and safe in the case of RPL in the presence of Factor XIII Val34Leu homozygous polymorphism.</w:t>
      </w:r>
      <w:r w:rsidR="00FD0FF4">
        <w:rPr>
          <w:color w:val="000000"/>
          <w:shd w:val="clear" w:color="auto" w:fill="FFFFFF"/>
        </w:rPr>
        <w:t xml:space="preserve"> This finding needs to be emphasized on a wider-scope clinical</w:t>
      </w:r>
      <w:r w:rsidR="00421682">
        <w:rPr>
          <w:color w:val="000000"/>
          <w:shd w:val="clear" w:color="auto" w:fill="FFFFFF"/>
        </w:rPr>
        <w:t xml:space="preserve"> trial to further document the link of </w:t>
      </w:r>
      <w:r w:rsidR="00FD0FF4" w:rsidRPr="00781A53">
        <w:t>Factor XIII</w:t>
      </w:r>
      <w:r w:rsidR="00725852">
        <w:t xml:space="preserve"> Val34Leu mutation </w:t>
      </w:r>
      <w:r w:rsidR="00FD0FF4">
        <w:t>with RPL, when to investigate and how to treat</w:t>
      </w:r>
      <w:r w:rsidR="00B348D3">
        <w:t>,</w:t>
      </w:r>
      <w:r w:rsidR="00FD0FF4">
        <w:t xml:space="preserve"> taking into account FFP as an option</w:t>
      </w:r>
      <w:r w:rsidR="00421682">
        <w:t>.</w:t>
      </w:r>
    </w:p>
    <w:p w14:paraId="6A64C83B" w14:textId="77777777" w:rsidR="00F94240" w:rsidRDefault="00F94240" w:rsidP="00F93FFE">
      <w:pPr>
        <w:rPr>
          <w:b/>
          <w:bCs/>
          <w:sz w:val="24"/>
          <w:szCs w:val="24"/>
        </w:rPr>
      </w:pPr>
    </w:p>
    <w:p w14:paraId="2FD89F0E" w14:textId="77777777" w:rsidR="00436024" w:rsidRDefault="00436024" w:rsidP="00F93FFE">
      <w:pPr>
        <w:rPr>
          <w:b/>
          <w:bCs/>
          <w:sz w:val="24"/>
          <w:szCs w:val="24"/>
        </w:rPr>
      </w:pPr>
    </w:p>
    <w:p w14:paraId="434D8172" w14:textId="77777777" w:rsidR="00436024" w:rsidRDefault="00436024" w:rsidP="00F93FFE">
      <w:pPr>
        <w:rPr>
          <w:b/>
          <w:bCs/>
          <w:sz w:val="24"/>
          <w:szCs w:val="24"/>
        </w:rPr>
      </w:pPr>
    </w:p>
    <w:p w14:paraId="380B8E51" w14:textId="77777777" w:rsidR="00436024" w:rsidRDefault="00436024" w:rsidP="00F93FFE">
      <w:pPr>
        <w:rPr>
          <w:b/>
          <w:bCs/>
          <w:sz w:val="24"/>
          <w:szCs w:val="24"/>
        </w:rPr>
      </w:pPr>
    </w:p>
    <w:p w14:paraId="23342E4B" w14:textId="77777777" w:rsidR="00436024" w:rsidRDefault="00436024" w:rsidP="00F93FFE">
      <w:pPr>
        <w:rPr>
          <w:b/>
          <w:bCs/>
          <w:sz w:val="24"/>
          <w:szCs w:val="24"/>
        </w:rPr>
      </w:pPr>
    </w:p>
    <w:p w14:paraId="7CD05438" w14:textId="77777777" w:rsidR="00436024" w:rsidRDefault="00436024" w:rsidP="00F93FFE">
      <w:pPr>
        <w:rPr>
          <w:b/>
          <w:bCs/>
          <w:sz w:val="24"/>
          <w:szCs w:val="24"/>
        </w:rPr>
      </w:pPr>
    </w:p>
    <w:p w14:paraId="19074C97" w14:textId="77777777" w:rsidR="00436024" w:rsidRDefault="00436024" w:rsidP="00F93FFE">
      <w:pPr>
        <w:rPr>
          <w:b/>
          <w:bCs/>
          <w:sz w:val="24"/>
          <w:szCs w:val="24"/>
        </w:rPr>
      </w:pPr>
    </w:p>
    <w:p w14:paraId="762BFCCB" w14:textId="77777777" w:rsidR="00436024" w:rsidRDefault="00436024" w:rsidP="00F93FFE">
      <w:pPr>
        <w:rPr>
          <w:b/>
          <w:bCs/>
          <w:sz w:val="24"/>
          <w:szCs w:val="24"/>
        </w:rPr>
      </w:pPr>
    </w:p>
    <w:p w14:paraId="31261A55" w14:textId="77777777" w:rsidR="00436024" w:rsidRDefault="00436024" w:rsidP="00F93FFE">
      <w:pPr>
        <w:rPr>
          <w:b/>
          <w:bCs/>
          <w:sz w:val="24"/>
          <w:szCs w:val="24"/>
        </w:rPr>
      </w:pPr>
    </w:p>
    <w:p w14:paraId="5E0AEA0F" w14:textId="77777777" w:rsidR="00436024" w:rsidRDefault="00436024" w:rsidP="00F93FFE">
      <w:pPr>
        <w:rPr>
          <w:b/>
          <w:bCs/>
          <w:sz w:val="24"/>
          <w:szCs w:val="24"/>
        </w:rPr>
      </w:pPr>
    </w:p>
    <w:p w14:paraId="28501B0C" w14:textId="77777777" w:rsidR="00436024" w:rsidRDefault="00436024" w:rsidP="00F93FFE">
      <w:pPr>
        <w:rPr>
          <w:b/>
          <w:bCs/>
          <w:sz w:val="24"/>
          <w:szCs w:val="24"/>
        </w:rPr>
      </w:pPr>
    </w:p>
    <w:p w14:paraId="0B3B1E93" w14:textId="77777777" w:rsidR="00436024" w:rsidRDefault="00436024" w:rsidP="00F93FFE">
      <w:pPr>
        <w:rPr>
          <w:b/>
          <w:bCs/>
          <w:sz w:val="24"/>
          <w:szCs w:val="24"/>
        </w:rPr>
      </w:pPr>
    </w:p>
    <w:p w14:paraId="779C8209" w14:textId="77777777" w:rsidR="00436024" w:rsidRDefault="00436024" w:rsidP="00F93FFE">
      <w:pPr>
        <w:rPr>
          <w:b/>
          <w:bCs/>
          <w:sz w:val="24"/>
          <w:szCs w:val="24"/>
        </w:rPr>
      </w:pPr>
    </w:p>
    <w:p w14:paraId="03A3E381" w14:textId="77777777" w:rsidR="00436024" w:rsidRDefault="00436024" w:rsidP="00F93FFE">
      <w:pPr>
        <w:rPr>
          <w:b/>
          <w:bCs/>
          <w:sz w:val="24"/>
          <w:szCs w:val="24"/>
        </w:rPr>
      </w:pPr>
    </w:p>
    <w:p w14:paraId="6B2BC110" w14:textId="77777777" w:rsidR="00436024" w:rsidRDefault="00436024" w:rsidP="00F93FFE">
      <w:pPr>
        <w:rPr>
          <w:b/>
          <w:bCs/>
          <w:sz w:val="24"/>
          <w:szCs w:val="24"/>
        </w:rPr>
      </w:pPr>
    </w:p>
    <w:p w14:paraId="29F769C2" w14:textId="77777777" w:rsidR="00436024" w:rsidRDefault="00436024" w:rsidP="00F93FFE">
      <w:pPr>
        <w:rPr>
          <w:b/>
          <w:bCs/>
          <w:sz w:val="24"/>
          <w:szCs w:val="24"/>
        </w:rPr>
      </w:pPr>
    </w:p>
    <w:p w14:paraId="56A81A54" w14:textId="089A7E99" w:rsidR="00F94240" w:rsidRDefault="00436024" w:rsidP="00F93FFE">
      <w:pPr>
        <w:rPr>
          <w:b/>
          <w:bCs/>
          <w:sz w:val="24"/>
          <w:szCs w:val="24"/>
        </w:rPr>
      </w:pPr>
      <w:r>
        <w:rPr>
          <w:b/>
          <w:bCs/>
          <w:sz w:val="24"/>
          <w:szCs w:val="24"/>
        </w:rPr>
        <w:t>References</w:t>
      </w:r>
    </w:p>
    <w:p w14:paraId="632B8036" w14:textId="52DAA7FC" w:rsidR="007B24A9" w:rsidRPr="007B24A9" w:rsidRDefault="00B454D5" w:rsidP="007B24A9">
      <w:pPr>
        <w:widowControl w:val="0"/>
        <w:autoSpaceDE w:val="0"/>
        <w:autoSpaceDN w:val="0"/>
        <w:adjustRightInd w:val="0"/>
        <w:spacing w:line="240" w:lineRule="auto"/>
        <w:ind w:left="640" w:hanging="640"/>
        <w:rPr>
          <w:rFonts w:ascii="Calibri" w:hAnsi="Calibri" w:cs="Calibri"/>
          <w:noProof/>
          <w:sz w:val="24"/>
          <w:szCs w:val="24"/>
        </w:rPr>
      </w:pPr>
      <w:r>
        <w:rPr>
          <w:b/>
          <w:bCs/>
          <w:sz w:val="24"/>
          <w:szCs w:val="24"/>
        </w:rPr>
        <w:fldChar w:fldCharType="begin" w:fldLock="1"/>
      </w:r>
      <w:r>
        <w:rPr>
          <w:b/>
          <w:bCs/>
          <w:sz w:val="24"/>
          <w:szCs w:val="24"/>
        </w:rPr>
        <w:instrText xml:space="preserve">ADDIN Mendeley Bibliography CSL_BIBLIOGRAPHY </w:instrText>
      </w:r>
      <w:r>
        <w:rPr>
          <w:b/>
          <w:bCs/>
          <w:sz w:val="24"/>
          <w:szCs w:val="24"/>
        </w:rPr>
        <w:fldChar w:fldCharType="separate"/>
      </w:r>
      <w:r w:rsidR="007B24A9" w:rsidRPr="007B24A9">
        <w:rPr>
          <w:rFonts w:ascii="Calibri" w:hAnsi="Calibri" w:cs="Calibri"/>
          <w:noProof/>
          <w:sz w:val="24"/>
          <w:szCs w:val="24"/>
        </w:rPr>
        <w:t xml:space="preserve">1 </w:t>
      </w:r>
      <w:r w:rsidR="007B24A9" w:rsidRPr="007B24A9">
        <w:rPr>
          <w:rFonts w:ascii="Calibri" w:hAnsi="Calibri" w:cs="Calibri"/>
          <w:noProof/>
          <w:sz w:val="24"/>
          <w:szCs w:val="24"/>
        </w:rPr>
        <w:tab/>
        <w:t>Rai R, Regan L. Recurrent miscarriage. Lancet. 2006. doi:10.1016/S0140-6736(06)69204-0</w:t>
      </w:r>
    </w:p>
    <w:p w14:paraId="16E29187"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2 </w:t>
      </w:r>
      <w:r w:rsidRPr="007B24A9">
        <w:rPr>
          <w:rFonts w:ascii="Calibri" w:hAnsi="Calibri" w:cs="Calibri"/>
          <w:noProof/>
          <w:sz w:val="24"/>
          <w:szCs w:val="24"/>
        </w:rPr>
        <w:tab/>
        <w:t xml:space="preserve">Bender Atik R, Christiansen OB, Elson J, </w:t>
      </w:r>
      <w:r w:rsidRPr="007B24A9">
        <w:rPr>
          <w:rFonts w:ascii="Calibri" w:hAnsi="Calibri" w:cs="Calibri"/>
          <w:i/>
          <w:iCs/>
          <w:noProof/>
          <w:sz w:val="24"/>
          <w:szCs w:val="24"/>
        </w:rPr>
        <w:t>et al.</w:t>
      </w:r>
      <w:r w:rsidRPr="007B24A9">
        <w:rPr>
          <w:rFonts w:ascii="Calibri" w:hAnsi="Calibri" w:cs="Calibri"/>
          <w:noProof/>
          <w:sz w:val="24"/>
          <w:szCs w:val="24"/>
        </w:rPr>
        <w:t xml:space="preserve"> ESHRE guideline: recurrent pregnancy loss. </w:t>
      </w:r>
      <w:r w:rsidRPr="007B24A9">
        <w:rPr>
          <w:rFonts w:ascii="Calibri" w:hAnsi="Calibri" w:cs="Calibri"/>
          <w:i/>
          <w:iCs/>
          <w:noProof/>
          <w:sz w:val="24"/>
          <w:szCs w:val="24"/>
        </w:rPr>
        <w:t>Hum Reprod Open</w:t>
      </w:r>
      <w:r w:rsidRPr="007B24A9">
        <w:rPr>
          <w:rFonts w:ascii="Calibri" w:hAnsi="Calibri" w:cs="Calibri"/>
          <w:noProof/>
          <w:sz w:val="24"/>
          <w:szCs w:val="24"/>
        </w:rPr>
        <w:t xml:space="preserve"> Published Online First: 2018. doi:10.1093/hropen/hoy004</w:t>
      </w:r>
    </w:p>
    <w:p w14:paraId="0CF5AFD4"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3 </w:t>
      </w:r>
      <w:r w:rsidRPr="007B24A9">
        <w:rPr>
          <w:rFonts w:ascii="Calibri" w:hAnsi="Calibri" w:cs="Calibri"/>
          <w:noProof/>
          <w:sz w:val="24"/>
          <w:szCs w:val="24"/>
        </w:rPr>
        <w:tab/>
        <w:t xml:space="preserve">Gao H, Tao FB. Prothrombin G20210A mutation is associated with recurrent pregnancy loss: A systematic review and meta-analysis update. </w:t>
      </w:r>
      <w:r w:rsidRPr="007B24A9">
        <w:rPr>
          <w:rFonts w:ascii="Calibri" w:hAnsi="Calibri" w:cs="Calibri"/>
          <w:i/>
          <w:iCs/>
          <w:noProof/>
          <w:sz w:val="24"/>
          <w:szCs w:val="24"/>
        </w:rPr>
        <w:t>Thromb Res</w:t>
      </w:r>
      <w:r w:rsidRPr="007B24A9">
        <w:rPr>
          <w:rFonts w:ascii="Calibri" w:hAnsi="Calibri" w:cs="Calibri"/>
          <w:noProof/>
          <w:sz w:val="24"/>
          <w:szCs w:val="24"/>
        </w:rPr>
        <w:t xml:space="preserve"> Published Online First: 2015. doi:10.1016/j.thromres.2014.12.001</w:t>
      </w:r>
    </w:p>
    <w:p w14:paraId="48670BF1"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4 </w:t>
      </w:r>
      <w:r w:rsidRPr="007B24A9">
        <w:rPr>
          <w:rFonts w:ascii="Calibri" w:hAnsi="Calibri" w:cs="Calibri"/>
          <w:noProof/>
          <w:sz w:val="24"/>
          <w:szCs w:val="24"/>
        </w:rPr>
        <w:tab/>
        <w:t xml:space="preserve">Sergi C, Al Jishi T, Walker M. Factor V Leiden mutation in women with early recurrent pregnancy loss: a meta-analysis and systematic review of the causal association. </w:t>
      </w:r>
      <w:r w:rsidRPr="007B24A9">
        <w:rPr>
          <w:rFonts w:ascii="Calibri" w:hAnsi="Calibri" w:cs="Calibri"/>
          <w:i/>
          <w:iCs/>
          <w:noProof/>
          <w:sz w:val="24"/>
          <w:szCs w:val="24"/>
        </w:rPr>
        <w:t>Arch Gynecol Obstet</w:t>
      </w:r>
      <w:r w:rsidRPr="007B24A9">
        <w:rPr>
          <w:rFonts w:ascii="Calibri" w:hAnsi="Calibri" w:cs="Calibri"/>
          <w:noProof/>
          <w:sz w:val="24"/>
          <w:szCs w:val="24"/>
        </w:rPr>
        <w:t xml:space="preserve"> Published Online First: 2015. doi:10.1007/s00404-014-3443-x</w:t>
      </w:r>
    </w:p>
    <w:p w14:paraId="3441F1AC"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5 </w:t>
      </w:r>
      <w:r w:rsidRPr="007B24A9">
        <w:rPr>
          <w:rFonts w:ascii="Calibri" w:hAnsi="Calibri" w:cs="Calibri"/>
          <w:noProof/>
          <w:sz w:val="24"/>
          <w:szCs w:val="24"/>
        </w:rPr>
        <w:tab/>
        <w:t xml:space="preserve">Li X, Liu Y, Zhang R, </w:t>
      </w:r>
      <w:r w:rsidRPr="007B24A9">
        <w:rPr>
          <w:rFonts w:ascii="Calibri" w:hAnsi="Calibri" w:cs="Calibri"/>
          <w:i/>
          <w:iCs/>
          <w:noProof/>
          <w:sz w:val="24"/>
          <w:szCs w:val="24"/>
        </w:rPr>
        <w:t>et al.</w:t>
      </w:r>
      <w:r w:rsidRPr="007B24A9">
        <w:rPr>
          <w:rFonts w:ascii="Calibri" w:hAnsi="Calibri" w:cs="Calibri"/>
          <w:noProof/>
          <w:sz w:val="24"/>
          <w:szCs w:val="24"/>
        </w:rPr>
        <w:t xml:space="preserve"> Meta-analysis of the association between plasminogen </w:t>
      </w:r>
      <w:r w:rsidRPr="007B24A9">
        <w:rPr>
          <w:rFonts w:ascii="Calibri" w:hAnsi="Calibri" w:cs="Calibri"/>
          <w:noProof/>
          <w:sz w:val="24"/>
          <w:szCs w:val="24"/>
        </w:rPr>
        <w:lastRenderedPageBreak/>
        <w:t xml:space="preserve">activator inhibitor-1 4G/5G polymorphism and recurrent pregnancy loss. </w:t>
      </w:r>
      <w:r w:rsidRPr="007B24A9">
        <w:rPr>
          <w:rFonts w:ascii="Calibri" w:hAnsi="Calibri" w:cs="Calibri"/>
          <w:i/>
          <w:iCs/>
          <w:noProof/>
          <w:sz w:val="24"/>
          <w:szCs w:val="24"/>
        </w:rPr>
        <w:t>Med Sci Monit</w:t>
      </w:r>
      <w:r w:rsidRPr="007B24A9">
        <w:rPr>
          <w:rFonts w:ascii="Calibri" w:hAnsi="Calibri" w:cs="Calibri"/>
          <w:noProof/>
          <w:sz w:val="24"/>
          <w:szCs w:val="24"/>
        </w:rPr>
        <w:t xml:space="preserve"> Published Online First: 2015. doi:10.12659/MSM.892898</w:t>
      </w:r>
    </w:p>
    <w:p w14:paraId="60E11425"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6 </w:t>
      </w:r>
      <w:r w:rsidRPr="007B24A9">
        <w:rPr>
          <w:rFonts w:ascii="Calibri" w:hAnsi="Calibri" w:cs="Calibri"/>
          <w:noProof/>
          <w:sz w:val="24"/>
          <w:szCs w:val="24"/>
        </w:rPr>
        <w:tab/>
        <w:t xml:space="preserve">Jung JH, Kim JH, Song GG, </w:t>
      </w:r>
      <w:r w:rsidRPr="007B24A9">
        <w:rPr>
          <w:rFonts w:ascii="Calibri" w:hAnsi="Calibri" w:cs="Calibri"/>
          <w:i/>
          <w:iCs/>
          <w:noProof/>
          <w:sz w:val="24"/>
          <w:szCs w:val="24"/>
        </w:rPr>
        <w:t>et al.</w:t>
      </w:r>
      <w:r w:rsidRPr="007B24A9">
        <w:rPr>
          <w:rFonts w:ascii="Calibri" w:hAnsi="Calibri" w:cs="Calibri"/>
          <w:noProof/>
          <w:sz w:val="24"/>
          <w:szCs w:val="24"/>
        </w:rPr>
        <w:t xml:space="preserve"> Association of the F13A1 Val34Leu polymorphism and recurrent pregnancy loss: A meta-analysis. </w:t>
      </w:r>
      <w:r w:rsidRPr="007B24A9">
        <w:rPr>
          <w:rFonts w:ascii="Calibri" w:hAnsi="Calibri" w:cs="Calibri"/>
          <w:i/>
          <w:iCs/>
          <w:noProof/>
          <w:sz w:val="24"/>
          <w:szCs w:val="24"/>
        </w:rPr>
        <w:t>Eur J Obstet Gynecol Reprod Biol</w:t>
      </w:r>
      <w:r w:rsidRPr="007B24A9">
        <w:rPr>
          <w:rFonts w:ascii="Calibri" w:hAnsi="Calibri" w:cs="Calibri"/>
          <w:noProof/>
          <w:sz w:val="24"/>
          <w:szCs w:val="24"/>
        </w:rPr>
        <w:t xml:space="preserve"> 2017;</w:t>
      </w:r>
      <w:r w:rsidRPr="007B24A9">
        <w:rPr>
          <w:rFonts w:ascii="Calibri" w:hAnsi="Calibri" w:cs="Calibri"/>
          <w:b/>
          <w:bCs/>
          <w:noProof/>
          <w:sz w:val="24"/>
          <w:szCs w:val="24"/>
        </w:rPr>
        <w:t>215</w:t>
      </w:r>
      <w:r w:rsidRPr="007B24A9">
        <w:rPr>
          <w:rFonts w:ascii="Calibri" w:hAnsi="Calibri" w:cs="Calibri"/>
          <w:noProof/>
          <w:sz w:val="24"/>
          <w:szCs w:val="24"/>
        </w:rPr>
        <w:t>:234–40. doi:10.1016/J.EJOGRB.2017.06.032</w:t>
      </w:r>
    </w:p>
    <w:p w14:paraId="35CEC647"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7 </w:t>
      </w:r>
      <w:r w:rsidRPr="007B24A9">
        <w:rPr>
          <w:rFonts w:ascii="Calibri" w:hAnsi="Calibri" w:cs="Calibri"/>
          <w:noProof/>
          <w:sz w:val="24"/>
          <w:szCs w:val="24"/>
        </w:rPr>
        <w:tab/>
        <w:t xml:space="preserve">Bigdeli R, Younesi MR, Panahnejad E, </w:t>
      </w:r>
      <w:r w:rsidRPr="007B24A9">
        <w:rPr>
          <w:rFonts w:ascii="Calibri" w:hAnsi="Calibri" w:cs="Calibri"/>
          <w:i/>
          <w:iCs/>
          <w:noProof/>
          <w:sz w:val="24"/>
          <w:szCs w:val="24"/>
        </w:rPr>
        <w:t>et al.</w:t>
      </w:r>
      <w:r w:rsidRPr="007B24A9">
        <w:rPr>
          <w:rFonts w:ascii="Calibri" w:hAnsi="Calibri" w:cs="Calibri"/>
          <w:noProof/>
          <w:sz w:val="24"/>
          <w:szCs w:val="24"/>
        </w:rPr>
        <w:t xml:space="preserve"> Association between thrombophilia gene polymorphisms and recurrent pregnancy loss risk in the Iranian population. </w:t>
      </w:r>
      <w:r w:rsidRPr="007B24A9">
        <w:rPr>
          <w:rFonts w:ascii="Calibri" w:hAnsi="Calibri" w:cs="Calibri"/>
          <w:i/>
          <w:iCs/>
          <w:noProof/>
          <w:sz w:val="24"/>
          <w:szCs w:val="24"/>
        </w:rPr>
        <w:t>https://doi.org/101080/1939636820181456576</w:t>
      </w:r>
      <w:r w:rsidRPr="007B24A9">
        <w:rPr>
          <w:rFonts w:ascii="Calibri" w:hAnsi="Calibri" w:cs="Calibri"/>
          <w:noProof/>
          <w:sz w:val="24"/>
          <w:szCs w:val="24"/>
        </w:rPr>
        <w:t xml:space="preserve"> 2018;</w:t>
      </w:r>
      <w:r w:rsidRPr="007B24A9">
        <w:rPr>
          <w:rFonts w:ascii="Calibri" w:hAnsi="Calibri" w:cs="Calibri"/>
          <w:b/>
          <w:bCs/>
          <w:noProof/>
          <w:sz w:val="24"/>
          <w:szCs w:val="24"/>
        </w:rPr>
        <w:t>64</w:t>
      </w:r>
      <w:r w:rsidRPr="007B24A9">
        <w:rPr>
          <w:rFonts w:ascii="Calibri" w:hAnsi="Calibri" w:cs="Calibri"/>
          <w:noProof/>
          <w:sz w:val="24"/>
          <w:szCs w:val="24"/>
        </w:rPr>
        <w:t>:274–82. doi:10.1080/19396368.2018.1456576</w:t>
      </w:r>
    </w:p>
    <w:p w14:paraId="58996EC7"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8 </w:t>
      </w:r>
      <w:r w:rsidRPr="007B24A9">
        <w:rPr>
          <w:rFonts w:ascii="Calibri" w:hAnsi="Calibri" w:cs="Calibri"/>
          <w:noProof/>
          <w:sz w:val="24"/>
          <w:szCs w:val="24"/>
        </w:rPr>
        <w:tab/>
        <w:t xml:space="preserve">Dossenbach-Glaninger A, van Trotsenburg M, Oberkanins C, </w:t>
      </w:r>
      <w:r w:rsidRPr="007B24A9">
        <w:rPr>
          <w:rFonts w:ascii="Calibri" w:hAnsi="Calibri" w:cs="Calibri"/>
          <w:i/>
          <w:iCs/>
          <w:noProof/>
          <w:sz w:val="24"/>
          <w:szCs w:val="24"/>
        </w:rPr>
        <w:t>et al.</w:t>
      </w:r>
      <w:r w:rsidRPr="007B24A9">
        <w:rPr>
          <w:rFonts w:ascii="Calibri" w:hAnsi="Calibri" w:cs="Calibri"/>
          <w:noProof/>
          <w:sz w:val="24"/>
          <w:szCs w:val="24"/>
        </w:rPr>
        <w:t xml:space="preserve"> Risk for early pregnancy loss by factor XIII Val34Leu: The impact of fibrinogen concentration. </w:t>
      </w:r>
      <w:r w:rsidRPr="007B24A9">
        <w:rPr>
          <w:rFonts w:ascii="Calibri" w:hAnsi="Calibri" w:cs="Calibri"/>
          <w:i/>
          <w:iCs/>
          <w:noProof/>
          <w:sz w:val="24"/>
          <w:szCs w:val="24"/>
        </w:rPr>
        <w:t>J Clin Lab Anal</w:t>
      </w:r>
      <w:r w:rsidRPr="007B24A9">
        <w:rPr>
          <w:rFonts w:ascii="Calibri" w:hAnsi="Calibri" w:cs="Calibri"/>
          <w:noProof/>
          <w:sz w:val="24"/>
          <w:szCs w:val="24"/>
        </w:rPr>
        <w:t xml:space="preserve"> 2013;</w:t>
      </w:r>
      <w:r w:rsidRPr="007B24A9">
        <w:rPr>
          <w:rFonts w:ascii="Calibri" w:hAnsi="Calibri" w:cs="Calibri"/>
          <w:b/>
          <w:bCs/>
          <w:noProof/>
          <w:sz w:val="24"/>
          <w:szCs w:val="24"/>
        </w:rPr>
        <w:t>27</w:t>
      </w:r>
      <w:r w:rsidRPr="007B24A9">
        <w:rPr>
          <w:rFonts w:ascii="Calibri" w:hAnsi="Calibri" w:cs="Calibri"/>
          <w:noProof/>
          <w:sz w:val="24"/>
          <w:szCs w:val="24"/>
        </w:rPr>
        <w:t>:444–9. doi:10.1002/JCLA.21626</w:t>
      </w:r>
    </w:p>
    <w:p w14:paraId="113BB218"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9 </w:t>
      </w:r>
      <w:r w:rsidRPr="007B24A9">
        <w:rPr>
          <w:rFonts w:ascii="Calibri" w:hAnsi="Calibri" w:cs="Calibri"/>
          <w:noProof/>
          <w:sz w:val="24"/>
          <w:szCs w:val="24"/>
        </w:rPr>
        <w:tab/>
        <w:t xml:space="preserve">Ariens RAS, Philippou H, Nagaswami C, </w:t>
      </w:r>
      <w:r w:rsidRPr="007B24A9">
        <w:rPr>
          <w:rFonts w:ascii="Calibri" w:hAnsi="Calibri" w:cs="Calibri"/>
          <w:i/>
          <w:iCs/>
          <w:noProof/>
          <w:sz w:val="24"/>
          <w:szCs w:val="24"/>
        </w:rPr>
        <w:t>et al.</w:t>
      </w:r>
      <w:r w:rsidRPr="007B24A9">
        <w:rPr>
          <w:rFonts w:ascii="Calibri" w:hAnsi="Calibri" w:cs="Calibri"/>
          <w:noProof/>
          <w:sz w:val="24"/>
          <w:szCs w:val="24"/>
        </w:rPr>
        <w:t xml:space="preserve"> The factor XIII V34L polymorphism accelerates thrombin activation of factor XIII affects cross-linked fibrin structure. </w:t>
      </w:r>
      <w:r w:rsidRPr="007B24A9">
        <w:rPr>
          <w:rFonts w:ascii="Calibri" w:hAnsi="Calibri" w:cs="Calibri"/>
          <w:i/>
          <w:iCs/>
          <w:noProof/>
          <w:sz w:val="24"/>
          <w:szCs w:val="24"/>
        </w:rPr>
        <w:t>Blood</w:t>
      </w:r>
      <w:r w:rsidRPr="007B24A9">
        <w:rPr>
          <w:rFonts w:ascii="Calibri" w:hAnsi="Calibri" w:cs="Calibri"/>
          <w:noProof/>
          <w:sz w:val="24"/>
          <w:szCs w:val="24"/>
        </w:rPr>
        <w:t xml:space="preserve"> Published Online First: 2000. doi:10.1182/blood.v96.3.988</w:t>
      </w:r>
    </w:p>
    <w:p w14:paraId="3A2C087A"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10 </w:t>
      </w:r>
      <w:r w:rsidRPr="007B24A9">
        <w:rPr>
          <w:rFonts w:ascii="Calibri" w:hAnsi="Calibri" w:cs="Calibri"/>
          <w:noProof/>
          <w:sz w:val="24"/>
          <w:szCs w:val="24"/>
        </w:rPr>
        <w:tab/>
        <w:t xml:space="preserve">Ariëns RAS, Lai TS, Weisel JW, </w:t>
      </w:r>
      <w:r w:rsidRPr="007B24A9">
        <w:rPr>
          <w:rFonts w:ascii="Calibri" w:hAnsi="Calibri" w:cs="Calibri"/>
          <w:i/>
          <w:iCs/>
          <w:noProof/>
          <w:sz w:val="24"/>
          <w:szCs w:val="24"/>
        </w:rPr>
        <w:t>et al.</w:t>
      </w:r>
      <w:r w:rsidRPr="007B24A9">
        <w:rPr>
          <w:rFonts w:ascii="Calibri" w:hAnsi="Calibri" w:cs="Calibri"/>
          <w:noProof/>
          <w:sz w:val="24"/>
          <w:szCs w:val="24"/>
        </w:rPr>
        <w:t xml:space="preserve"> Role of factor XIII in fibrin clot formation and effects of genetic polymorphisms. Blood. 2002. doi:10.1182/blood.V100.3.743</w:t>
      </w:r>
    </w:p>
    <w:p w14:paraId="464E0E48"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11 </w:t>
      </w:r>
      <w:r w:rsidRPr="007B24A9">
        <w:rPr>
          <w:rFonts w:ascii="Calibri" w:hAnsi="Calibri" w:cs="Calibri"/>
          <w:noProof/>
          <w:sz w:val="24"/>
          <w:szCs w:val="24"/>
        </w:rPr>
        <w:tab/>
        <w:t xml:space="preserve">Balogh I, Szoke G, Karpati L, </w:t>
      </w:r>
      <w:r w:rsidRPr="007B24A9">
        <w:rPr>
          <w:rFonts w:ascii="Calibri" w:hAnsi="Calibri" w:cs="Calibri"/>
          <w:i/>
          <w:iCs/>
          <w:noProof/>
          <w:sz w:val="24"/>
          <w:szCs w:val="24"/>
        </w:rPr>
        <w:t>et al.</w:t>
      </w:r>
      <w:r w:rsidRPr="007B24A9">
        <w:rPr>
          <w:rFonts w:ascii="Calibri" w:hAnsi="Calibri" w:cs="Calibri"/>
          <w:noProof/>
          <w:sz w:val="24"/>
          <w:szCs w:val="24"/>
        </w:rPr>
        <w:t xml:space="preserve"> Val34Leu polymorphism of plasma factor XIII: Biochemistry and epidemiology in familial thrombophilia. </w:t>
      </w:r>
      <w:r w:rsidRPr="007B24A9">
        <w:rPr>
          <w:rFonts w:ascii="Calibri" w:hAnsi="Calibri" w:cs="Calibri"/>
          <w:i/>
          <w:iCs/>
          <w:noProof/>
          <w:sz w:val="24"/>
          <w:szCs w:val="24"/>
        </w:rPr>
        <w:t>Blood</w:t>
      </w:r>
      <w:r w:rsidRPr="007B24A9">
        <w:rPr>
          <w:rFonts w:ascii="Calibri" w:hAnsi="Calibri" w:cs="Calibri"/>
          <w:noProof/>
          <w:sz w:val="24"/>
          <w:szCs w:val="24"/>
        </w:rPr>
        <w:t xml:space="preserve"> Published Online First: 2000. doi:10.1182/blood.v96.7.2479.h8002479_2479_2486</w:t>
      </w:r>
    </w:p>
    <w:p w14:paraId="3B86B174"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12 </w:t>
      </w:r>
      <w:r w:rsidRPr="007B24A9">
        <w:rPr>
          <w:rFonts w:ascii="Calibri" w:hAnsi="Calibri" w:cs="Calibri"/>
          <w:noProof/>
          <w:sz w:val="24"/>
          <w:szCs w:val="24"/>
        </w:rPr>
        <w:tab/>
        <w:t xml:space="preserve">Sajjadi SM, Khosravi A, Pakravesh J, </w:t>
      </w:r>
      <w:r w:rsidRPr="007B24A9">
        <w:rPr>
          <w:rFonts w:ascii="Calibri" w:hAnsi="Calibri" w:cs="Calibri"/>
          <w:i/>
          <w:iCs/>
          <w:noProof/>
          <w:sz w:val="24"/>
          <w:szCs w:val="24"/>
        </w:rPr>
        <w:t>et al.</w:t>
      </w:r>
      <w:r w:rsidRPr="007B24A9">
        <w:rPr>
          <w:rFonts w:ascii="Calibri" w:hAnsi="Calibri" w:cs="Calibri"/>
          <w:noProof/>
          <w:sz w:val="24"/>
          <w:szCs w:val="24"/>
        </w:rPr>
        <w:t xml:space="preserve"> Factor XIII Val34Leu polymorphism and risk of recurrent pregnancy loss in Iranian population: a case control study. </w:t>
      </w:r>
      <w:r w:rsidRPr="007B24A9">
        <w:rPr>
          <w:rFonts w:ascii="Calibri" w:hAnsi="Calibri" w:cs="Calibri"/>
          <w:i/>
          <w:iCs/>
          <w:noProof/>
          <w:sz w:val="24"/>
          <w:szCs w:val="24"/>
        </w:rPr>
        <w:t>Front Biol (Beijing)</w:t>
      </w:r>
      <w:r w:rsidRPr="007B24A9">
        <w:rPr>
          <w:rFonts w:ascii="Calibri" w:hAnsi="Calibri" w:cs="Calibri"/>
          <w:noProof/>
          <w:sz w:val="24"/>
          <w:szCs w:val="24"/>
        </w:rPr>
        <w:t xml:space="preserve"> Published Online First: 2016. doi:10.1007/s11515-016-1419-x</w:t>
      </w:r>
    </w:p>
    <w:p w14:paraId="39528C0D"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13 </w:t>
      </w:r>
      <w:r w:rsidRPr="007B24A9">
        <w:rPr>
          <w:rFonts w:ascii="Calibri" w:hAnsi="Calibri" w:cs="Calibri"/>
          <w:noProof/>
          <w:sz w:val="24"/>
          <w:szCs w:val="24"/>
        </w:rPr>
        <w:tab/>
        <w:t xml:space="preserve">López Ramírez Y, Vivenes M, Miller A, </w:t>
      </w:r>
      <w:r w:rsidRPr="007B24A9">
        <w:rPr>
          <w:rFonts w:ascii="Calibri" w:hAnsi="Calibri" w:cs="Calibri"/>
          <w:i/>
          <w:iCs/>
          <w:noProof/>
          <w:sz w:val="24"/>
          <w:szCs w:val="24"/>
        </w:rPr>
        <w:t>et al.</w:t>
      </w:r>
      <w:r w:rsidRPr="007B24A9">
        <w:rPr>
          <w:rFonts w:ascii="Calibri" w:hAnsi="Calibri" w:cs="Calibri"/>
          <w:noProof/>
          <w:sz w:val="24"/>
          <w:szCs w:val="24"/>
        </w:rPr>
        <w:t xml:space="preserve"> Prevalence of the coagulation factor XIII polymorphism Val34Leu in women with recurrent miscarriage. </w:t>
      </w:r>
      <w:r w:rsidRPr="007B24A9">
        <w:rPr>
          <w:rFonts w:ascii="Calibri" w:hAnsi="Calibri" w:cs="Calibri"/>
          <w:i/>
          <w:iCs/>
          <w:noProof/>
          <w:sz w:val="24"/>
          <w:szCs w:val="24"/>
        </w:rPr>
        <w:t>Clin Chim Acta</w:t>
      </w:r>
      <w:r w:rsidRPr="007B24A9">
        <w:rPr>
          <w:rFonts w:ascii="Calibri" w:hAnsi="Calibri" w:cs="Calibri"/>
          <w:noProof/>
          <w:sz w:val="24"/>
          <w:szCs w:val="24"/>
        </w:rPr>
        <w:t xml:space="preserve"> Published Online First: 2006. doi:10.1016/j.cca.2006.05.032</w:t>
      </w:r>
    </w:p>
    <w:p w14:paraId="2ED3B18E"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14 </w:t>
      </w:r>
      <w:r w:rsidRPr="007B24A9">
        <w:rPr>
          <w:rFonts w:ascii="Calibri" w:hAnsi="Calibri" w:cs="Calibri"/>
          <w:noProof/>
          <w:sz w:val="24"/>
          <w:szCs w:val="24"/>
        </w:rPr>
        <w:tab/>
        <w:t xml:space="preserve">Wells PS, Anderson JL, Scarvelis DK, </w:t>
      </w:r>
      <w:r w:rsidRPr="007B24A9">
        <w:rPr>
          <w:rFonts w:ascii="Calibri" w:hAnsi="Calibri" w:cs="Calibri"/>
          <w:i/>
          <w:iCs/>
          <w:noProof/>
          <w:sz w:val="24"/>
          <w:szCs w:val="24"/>
        </w:rPr>
        <w:t>et al.</w:t>
      </w:r>
      <w:r w:rsidRPr="007B24A9">
        <w:rPr>
          <w:rFonts w:ascii="Calibri" w:hAnsi="Calibri" w:cs="Calibri"/>
          <w:noProof/>
          <w:sz w:val="24"/>
          <w:szCs w:val="24"/>
        </w:rPr>
        <w:t xml:space="preserve"> Factor XIII Val34Leu variant is protective against venous thromboembolism: A HuGE review and meta-analysis. Am. J. Epidemiol. 2006. doi:10.1093/aje/kwj179</w:t>
      </w:r>
    </w:p>
    <w:p w14:paraId="0A4F5E78"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15 </w:t>
      </w:r>
      <w:r w:rsidRPr="007B24A9">
        <w:rPr>
          <w:rFonts w:ascii="Calibri" w:hAnsi="Calibri" w:cs="Calibri"/>
          <w:noProof/>
          <w:sz w:val="24"/>
          <w:szCs w:val="24"/>
        </w:rPr>
        <w:tab/>
        <w:t xml:space="preserve">Poursadegh Zonouzi A, Chaparzadeh N, Ghorbian S, </w:t>
      </w:r>
      <w:r w:rsidRPr="007B24A9">
        <w:rPr>
          <w:rFonts w:ascii="Calibri" w:hAnsi="Calibri" w:cs="Calibri"/>
          <w:i/>
          <w:iCs/>
          <w:noProof/>
          <w:sz w:val="24"/>
          <w:szCs w:val="24"/>
        </w:rPr>
        <w:t>et al.</w:t>
      </w:r>
      <w:r w:rsidRPr="007B24A9">
        <w:rPr>
          <w:rFonts w:ascii="Calibri" w:hAnsi="Calibri" w:cs="Calibri"/>
          <w:noProof/>
          <w:sz w:val="24"/>
          <w:szCs w:val="24"/>
        </w:rPr>
        <w:t xml:space="preserve"> The association between thrombophilic gene mutations and recurrent pregnancy loss. </w:t>
      </w:r>
      <w:r w:rsidRPr="007B24A9">
        <w:rPr>
          <w:rFonts w:ascii="Calibri" w:hAnsi="Calibri" w:cs="Calibri"/>
          <w:i/>
          <w:iCs/>
          <w:noProof/>
          <w:sz w:val="24"/>
          <w:szCs w:val="24"/>
        </w:rPr>
        <w:t>J Assist Reprod Genet</w:t>
      </w:r>
      <w:r w:rsidRPr="007B24A9">
        <w:rPr>
          <w:rFonts w:ascii="Calibri" w:hAnsi="Calibri" w:cs="Calibri"/>
          <w:noProof/>
          <w:sz w:val="24"/>
          <w:szCs w:val="24"/>
        </w:rPr>
        <w:t xml:space="preserve"> Published Online First: 2013. doi:10.1007/s10815-013-0071-5</w:t>
      </w:r>
    </w:p>
    <w:p w14:paraId="21E7D8D1"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16 </w:t>
      </w:r>
      <w:r w:rsidRPr="007B24A9">
        <w:rPr>
          <w:rFonts w:ascii="Calibri" w:hAnsi="Calibri" w:cs="Calibri"/>
          <w:noProof/>
          <w:sz w:val="24"/>
          <w:szCs w:val="24"/>
        </w:rPr>
        <w:tab/>
        <w:t xml:space="preserve">Coulam CB, Jeyendran RS, Fishel LA, </w:t>
      </w:r>
      <w:r w:rsidRPr="007B24A9">
        <w:rPr>
          <w:rFonts w:ascii="Calibri" w:hAnsi="Calibri" w:cs="Calibri"/>
          <w:i/>
          <w:iCs/>
          <w:noProof/>
          <w:sz w:val="24"/>
          <w:szCs w:val="24"/>
        </w:rPr>
        <w:t>et al.</w:t>
      </w:r>
      <w:r w:rsidRPr="007B24A9">
        <w:rPr>
          <w:rFonts w:ascii="Calibri" w:hAnsi="Calibri" w:cs="Calibri"/>
          <w:noProof/>
          <w:sz w:val="24"/>
          <w:szCs w:val="24"/>
        </w:rPr>
        <w:t xml:space="preserve"> Multiple thrombophilic gene mutations rather than specific gene mutations are risk factors for recurrent miscarriage. </w:t>
      </w:r>
      <w:r w:rsidRPr="007B24A9">
        <w:rPr>
          <w:rFonts w:ascii="Calibri" w:hAnsi="Calibri" w:cs="Calibri"/>
          <w:i/>
          <w:iCs/>
          <w:noProof/>
          <w:sz w:val="24"/>
          <w:szCs w:val="24"/>
        </w:rPr>
        <w:t>Am J Reprod Immunol</w:t>
      </w:r>
      <w:r w:rsidRPr="007B24A9">
        <w:rPr>
          <w:rFonts w:ascii="Calibri" w:hAnsi="Calibri" w:cs="Calibri"/>
          <w:noProof/>
          <w:sz w:val="24"/>
          <w:szCs w:val="24"/>
        </w:rPr>
        <w:t xml:space="preserve"> Published Online First: 2006. doi:10.1111/j.1600-0897.2006.00376.x</w:t>
      </w:r>
    </w:p>
    <w:p w14:paraId="56759EBE"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17 </w:t>
      </w:r>
      <w:r w:rsidRPr="007B24A9">
        <w:rPr>
          <w:rFonts w:ascii="Calibri" w:hAnsi="Calibri" w:cs="Calibri"/>
          <w:noProof/>
          <w:sz w:val="24"/>
          <w:szCs w:val="24"/>
        </w:rPr>
        <w:tab/>
        <w:t xml:space="preserve">Dossenbach-Glaninger A, van Trotsenburg M, Dossenbach M, </w:t>
      </w:r>
      <w:r w:rsidRPr="007B24A9">
        <w:rPr>
          <w:rFonts w:ascii="Calibri" w:hAnsi="Calibri" w:cs="Calibri"/>
          <w:i/>
          <w:iCs/>
          <w:noProof/>
          <w:sz w:val="24"/>
          <w:szCs w:val="24"/>
        </w:rPr>
        <w:t>et al.</w:t>
      </w:r>
      <w:r w:rsidRPr="007B24A9">
        <w:rPr>
          <w:rFonts w:ascii="Calibri" w:hAnsi="Calibri" w:cs="Calibri"/>
          <w:noProof/>
          <w:sz w:val="24"/>
          <w:szCs w:val="24"/>
        </w:rPr>
        <w:t xml:space="preserve"> Plasminogen </w:t>
      </w:r>
      <w:r w:rsidRPr="007B24A9">
        <w:rPr>
          <w:rFonts w:ascii="Calibri" w:hAnsi="Calibri" w:cs="Calibri"/>
          <w:noProof/>
          <w:sz w:val="24"/>
          <w:szCs w:val="24"/>
        </w:rPr>
        <w:lastRenderedPageBreak/>
        <w:t xml:space="preserve">Activator Inhibitor 1 4G/5G Polymorphism and Coagulation Factor XIII Val34Leu Polymorphism: Impaired Fibrinolysis and Early Pregnancy Loss. </w:t>
      </w:r>
      <w:r w:rsidRPr="007B24A9">
        <w:rPr>
          <w:rFonts w:ascii="Calibri" w:hAnsi="Calibri" w:cs="Calibri"/>
          <w:i/>
          <w:iCs/>
          <w:noProof/>
          <w:sz w:val="24"/>
          <w:szCs w:val="24"/>
        </w:rPr>
        <w:t>Clin Chem</w:t>
      </w:r>
      <w:r w:rsidRPr="007B24A9">
        <w:rPr>
          <w:rFonts w:ascii="Calibri" w:hAnsi="Calibri" w:cs="Calibri"/>
          <w:noProof/>
          <w:sz w:val="24"/>
          <w:szCs w:val="24"/>
        </w:rPr>
        <w:t xml:space="preserve"> 2003;</w:t>
      </w:r>
      <w:r w:rsidRPr="007B24A9">
        <w:rPr>
          <w:rFonts w:ascii="Calibri" w:hAnsi="Calibri" w:cs="Calibri"/>
          <w:b/>
          <w:bCs/>
          <w:noProof/>
          <w:sz w:val="24"/>
          <w:szCs w:val="24"/>
        </w:rPr>
        <w:t>49</w:t>
      </w:r>
      <w:r w:rsidRPr="007B24A9">
        <w:rPr>
          <w:rFonts w:ascii="Calibri" w:hAnsi="Calibri" w:cs="Calibri"/>
          <w:noProof/>
          <w:sz w:val="24"/>
          <w:szCs w:val="24"/>
        </w:rPr>
        <w:t>:1081–6. doi:10.1373/49.7.1081</w:t>
      </w:r>
    </w:p>
    <w:p w14:paraId="7957D089"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18 </w:t>
      </w:r>
      <w:r w:rsidRPr="007B24A9">
        <w:rPr>
          <w:rFonts w:ascii="Calibri" w:hAnsi="Calibri" w:cs="Calibri"/>
          <w:noProof/>
          <w:sz w:val="24"/>
          <w:szCs w:val="24"/>
        </w:rPr>
        <w:tab/>
        <w:t xml:space="preserve">A D, J R. Blood coagulation factor XIII and factor XIII deficiency. </w:t>
      </w:r>
      <w:r w:rsidRPr="007B24A9">
        <w:rPr>
          <w:rFonts w:ascii="Calibri" w:hAnsi="Calibri" w:cs="Calibri"/>
          <w:i/>
          <w:iCs/>
          <w:noProof/>
          <w:sz w:val="24"/>
          <w:szCs w:val="24"/>
        </w:rPr>
        <w:t>Blood Rev</w:t>
      </w:r>
      <w:r w:rsidRPr="007B24A9">
        <w:rPr>
          <w:rFonts w:ascii="Calibri" w:hAnsi="Calibri" w:cs="Calibri"/>
          <w:noProof/>
          <w:sz w:val="24"/>
          <w:szCs w:val="24"/>
        </w:rPr>
        <w:t xml:space="preserve"> 2016;</w:t>
      </w:r>
      <w:r w:rsidRPr="007B24A9">
        <w:rPr>
          <w:rFonts w:ascii="Calibri" w:hAnsi="Calibri" w:cs="Calibri"/>
          <w:b/>
          <w:bCs/>
          <w:noProof/>
          <w:sz w:val="24"/>
          <w:szCs w:val="24"/>
        </w:rPr>
        <w:t>30</w:t>
      </w:r>
      <w:r w:rsidRPr="007B24A9">
        <w:rPr>
          <w:rFonts w:ascii="Calibri" w:hAnsi="Calibri" w:cs="Calibri"/>
          <w:noProof/>
          <w:sz w:val="24"/>
          <w:szCs w:val="24"/>
        </w:rPr>
        <w:t>:461–75. doi:10.1016/J.BLRE.2016.06.002</w:t>
      </w:r>
    </w:p>
    <w:p w14:paraId="38E81F17"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19 </w:t>
      </w:r>
      <w:r w:rsidRPr="007B24A9">
        <w:rPr>
          <w:rFonts w:ascii="Calibri" w:hAnsi="Calibri" w:cs="Calibri"/>
          <w:noProof/>
          <w:sz w:val="24"/>
          <w:szCs w:val="24"/>
        </w:rPr>
        <w:tab/>
        <w:t xml:space="preserve">Asahina T, Kobayashi T, Takeuchi K, </w:t>
      </w:r>
      <w:r w:rsidRPr="007B24A9">
        <w:rPr>
          <w:rFonts w:ascii="Calibri" w:hAnsi="Calibri" w:cs="Calibri"/>
          <w:i/>
          <w:iCs/>
          <w:noProof/>
          <w:sz w:val="24"/>
          <w:szCs w:val="24"/>
        </w:rPr>
        <w:t>et al.</w:t>
      </w:r>
      <w:r w:rsidRPr="007B24A9">
        <w:rPr>
          <w:rFonts w:ascii="Calibri" w:hAnsi="Calibri" w:cs="Calibri"/>
          <w:noProof/>
          <w:sz w:val="24"/>
          <w:szCs w:val="24"/>
        </w:rPr>
        <w:t xml:space="preserve"> Congenital blood coagulation factor XIII deficiency and successful deliveries: A review of the literature. Obstet. Gynecol. Surv. 2007. doi:10.1097/01.ogx.0000259176.03156.2b</w:t>
      </w:r>
    </w:p>
    <w:p w14:paraId="3BFD90FE"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20 </w:t>
      </w:r>
      <w:r w:rsidRPr="007B24A9">
        <w:rPr>
          <w:rFonts w:ascii="Calibri" w:hAnsi="Calibri" w:cs="Calibri"/>
          <w:noProof/>
          <w:sz w:val="24"/>
          <w:szCs w:val="24"/>
        </w:rPr>
        <w:tab/>
        <w:t xml:space="preserve">Abdel-Samad N, N. A-S. Treatment with recombinant factor XIII (Tretten) in a pregnant woman with factor XIII deficiency. </w:t>
      </w:r>
      <w:r w:rsidRPr="007B24A9">
        <w:rPr>
          <w:rFonts w:ascii="Calibri" w:hAnsi="Calibri" w:cs="Calibri"/>
          <w:i/>
          <w:iCs/>
          <w:noProof/>
          <w:sz w:val="24"/>
          <w:szCs w:val="24"/>
        </w:rPr>
        <w:t>Am J Case Rep</w:t>
      </w:r>
      <w:r w:rsidRPr="007B24A9">
        <w:rPr>
          <w:rFonts w:ascii="Calibri" w:hAnsi="Calibri" w:cs="Calibri"/>
          <w:noProof/>
          <w:sz w:val="24"/>
          <w:szCs w:val="24"/>
        </w:rPr>
        <w:t xml:space="preserve"> 2017;</w:t>
      </w:r>
      <w:r w:rsidRPr="007B24A9">
        <w:rPr>
          <w:rFonts w:ascii="Calibri" w:hAnsi="Calibri" w:cs="Calibri"/>
          <w:b/>
          <w:bCs/>
          <w:noProof/>
          <w:sz w:val="24"/>
          <w:szCs w:val="24"/>
        </w:rPr>
        <w:t>18</w:t>
      </w:r>
      <w:r w:rsidRPr="007B24A9">
        <w:rPr>
          <w:rFonts w:ascii="Calibri" w:hAnsi="Calibri" w:cs="Calibri"/>
          <w:noProof/>
          <w:sz w:val="24"/>
          <w:szCs w:val="24"/>
        </w:rPr>
        <w:t>:436–9. doi:10.12659/AJCR.901502</w:t>
      </w:r>
    </w:p>
    <w:p w14:paraId="09B03FBC"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21 </w:t>
      </w:r>
      <w:r w:rsidRPr="007B24A9">
        <w:rPr>
          <w:rFonts w:ascii="Calibri" w:hAnsi="Calibri" w:cs="Calibri"/>
          <w:noProof/>
          <w:sz w:val="24"/>
          <w:szCs w:val="24"/>
        </w:rPr>
        <w:tab/>
        <w:t xml:space="preserve">Dorgalaleh A, Tabibian S, Shams M, </w:t>
      </w:r>
      <w:r w:rsidRPr="007B24A9">
        <w:rPr>
          <w:rFonts w:ascii="Calibri" w:hAnsi="Calibri" w:cs="Calibri"/>
          <w:i/>
          <w:iCs/>
          <w:noProof/>
          <w:sz w:val="24"/>
          <w:szCs w:val="24"/>
        </w:rPr>
        <w:t>et al.</w:t>
      </w:r>
      <w:r w:rsidRPr="007B24A9">
        <w:rPr>
          <w:rFonts w:ascii="Calibri" w:hAnsi="Calibri" w:cs="Calibri"/>
          <w:noProof/>
          <w:sz w:val="24"/>
          <w:szCs w:val="24"/>
        </w:rPr>
        <w:t xml:space="preserve"> Laboratory Diagnosis of Factor XIII Deficiency in Developing Countries: An Iranian Experience. </w:t>
      </w:r>
      <w:r w:rsidRPr="007B24A9">
        <w:rPr>
          <w:rFonts w:ascii="Calibri" w:hAnsi="Calibri" w:cs="Calibri"/>
          <w:i/>
          <w:iCs/>
          <w:noProof/>
          <w:sz w:val="24"/>
          <w:szCs w:val="24"/>
        </w:rPr>
        <w:t>Lab Med</w:t>
      </w:r>
      <w:r w:rsidRPr="007B24A9">
        <w:rPr>
          <w:rFonts w:ascii="Calibri" w:hAnsi="Calibri" w:cs="Calibri"/>
          <w:noProof/>
          <w:sz w:val="24"/>
          <w:szCs w:val="24"/>
        </w:rPr>
        <w:t xml:space="preserve"> Published Online First: 2016. doi:10.1093/labmed/lmw021</w:t>
      </w:r>
    </w:p>
    <w:p w14:paraId="4989D282"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22 </w:t>
      </w:r>
      <w:r w:rsidRPr="007B24A9">
        <w:rPr>
          <w:rFonts w:ascii="Calibri" w:hAnsi="Calibri" w:cs="Calibri"/>
          <w:noProof/>
          <w:sz w:val="24"/>
          <w:szCs w:val="24"/>
        </w:rPr>
        <w:tab/>
        <w:t>Inbal A, Muszbek L. Coagulation factor deficiencies and pregnancy loss. Semin. Thromb. Hemost. 2003. doi:10.1055/s-2003-38832</w:t>
      </w:r>
    </w:p>
    <w:p w14:paraId="475D9C71"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szCs w:val="24"/>
        </w:rPr>
      </w:pPr>
      <w:r w:rsidRPr="007B24A9">
        <w:rPr>
          <w:rFonts w:ascii="Calibri" w:hAnsi="Calibri" w:cs="Calibri"/>
          <w:noProof/>
          <w:sz w:val="24"/>
          <w:szCs w:val="24"/>
        </w:rPr>
        <w:t xml:space="preserve">23 </w:t>
      </w:r>
      <w:r w:rsidRPr="007B24A9">
        <w:rPr>
          <w:rFonts w:ascii="Calibri" w:hAnsi="Calibri" w:cs="Calibri"/>
          <w:noProof/>
          <w:sz w:val="24"/>
          <w:szCs w:val="24"/>
        </w:rPr>
        <w:tab/>
        <w:t xml:space="preserve">Al-Khabori M, Pathare A, Menegatti M, </w:t>
      </w:r>
      <w:r w:rsidRPr="007B24A9">
        <w:rPr>
          <w:rFonts w:ascii="Calibri" w:hAnsi="Calibri" w:cs="Calibri"/>
          <w:i/>
          <w:iCs/>
          <w:noProof/>
          <w:sz w:val="24"/>
          <w:szCs w:val="24"/>
        </w:rPr>
        <w:t>et al.</w:t>
      </w:r>
      <w:r w:rsidRPr="007B24A9">
        <w:rPr>
          <w:rFonts w:ascii="Calibri" w:hAnsi="Calibri" w:cs="Calibri"/>
          <w:noProof/>
          <w:sz w:val="24"/>
          <w:szCs w:val="24"/>
        </w:rPr>
        <w:t xml:space="preserve"> Recombinant factor XIII A-subunit in a patient with factor XIII deficiency and recurrent pregnancy loss. J. Thromb. Haemost. 2018. doi:10.1111/jth.14126</w:t>
      </w:r>
    </w:p>
    <w:p w14:paraId="6D47855F" w14:textId="77777777" w:rsidR="007B24A9" w:rsidRPr="007B24A9" w:rsidRDefault="007B24A9" w:rsidP="007B24A9">
      <w:pPr>
        <w:widowControl w:val="0"/>
        <w:autoSpaceDE w:val="0"/>
        <w:autoSpaceDN w:val="0"/>
        <w:adjustRightInd w:val="0"/>
        <w:spacing w:line="240" w:lineRule="auto"/>
        <w:ind w:left="640" w:hanging="640"/>
        <w:rPr>
          <w:rFonts w:ascii="Calibri" w:hAnsi="Calibri" w:cs="Calibri"/>
          <w:noProof/>
          <w:sz w:val="24"/>
        </w:rPr>
      </w:pPr>
      <w:r w:rsidRPr="007B24A9">
        <w:rPr>
          <w:rFonts w:ascii="Calibri" w:hAnsi="Calibri" w:cs="Calibri"/>
          <w:noProof/>
          <w:sz w:val="24"/>
          <w:szCs w:val="24"/>
        </w:rPr>
        <w:t xml:space="preserve">24 </w:t>
      </w:r>
      <w:r w:rsidRPr="007B24A9">
        <w:rPr>
          <w:rFonts w:ascii="Calibri" w:hAnsi="Calibri" w:cs="Calibri"/>
          <w:noProof/>
          <w:sz w:val="24"/>
          <w:szCs w:val="24"/>
        </w:rPr>
        <w:tab/>
        <w:t xml:space="preserve">Caudill JSC, Nichols WL, Plumhoff EA, </w:t>
      </w:r>
      <w:r w:rsidRPr="007B24A9">
        <w:rPr>
          <w:rFonts w:ascii="Calibri" w:hAnsi="Calibri" w:cs="Calibri"/>
          <w:i/>
          <w:iCs/>
          <w:noProof/>
          <w:sz w:val="24"/>
          <w:szCs w:val="24"/>
        </w:rPr>
        <w:t>et al.</w:t>
      </w:r>
      <w:r w:rsidRPr="007B24A9">
        <w:rPr>
          <w:rFonts w:ascii="Calibri" w:hAnsi="Calibri" w:cs="Calibri"/>
          <w:noProof/>
          <w:sz w:val="24"/>
          <w:szCs w:val="24"/>
        </w:rPr>
        <w:t xml:space="preserve"> Comparison of coagulation factor XIII content and concentration in cryoprecipitate and fresh-frozen plasma. </w:t>
      </w:r>
      <w:r w:rsidRPr="007B24A9">
        <w:rPr>
          <w:rFonts w:ascii="Calibri" w:hAnsi="Calibri" w:cs="Calibri"/>
          <w:i/>
          <w:iCs/>
          <w:noProof/>
          <w:sz w:val="24"/>
          <w:szCs w:val="24"/>
        </w:rPr>
        <w:t>Transfusion</w:t>
      </w:r>
      <w:r w:rsidRPr="007B24A9">
        <w:rPr>
          <w:rFonts w:ascii="Calibri" w:hAnsi="Calibri" w:cs="Calibri"/>
          <w:noProof/>
          <w:sz w:val="24"/>
          <w:szCs w:val="24"/>
        </w:rPr>
        <w:t xml:space="preserve"> Published Online First: 2009. doi:10.1111/j.1537-2995.2008.02021.x</w:t>
      </w:r>
    </w:p>
    <w:p w14:paraId="46D2DB76" w14:textId="491A65C8" w:rsidR="00F94240" w:rsidRDefault="00B454D5" w:rsidP="007B24A9">
      <w:pPr>
        <w:widowControl w:val="0"/>
        <w:autoSpaceDE w:val="0"/>
        <w:autoSpaceDN w:val="0"/>
        <w:adjustRightInd w:val="0"/>
        <w:spacing w:line="240" w:lineRule="auto"/>
        <w:ind w:left="640" w:hanging="640"/>
        <w:rPr>
          <w:b/>
          <w:bCs/>
          <w:sz w:val="24"/>
          <w:szCs w:val="24"/>
        </w:rPr>
      </w:pPr>
      <w:r>
        <w:rPr>
          <w:b/>
          <w:bCs/>
          <w:sz w:val="24"/>
          <w:szCs w:val="24"/>
        </w:rPr>
        <w:fldChar w:fldCharType="end"/>
      </w:r>
    </w:p>
    <w:p w14:paraId="29926D97" w14:textId="77777777" w:rsidR="00F94240" w:rsidRDefault="00F94240" w:rsidP="00F93FFE">
      <w:pPr>
        <w:rPr>
          <w:b/>
          <w:bCs/>
          <w:sz w:val="24"/>
          <w:szCs w:val="24"/>
        </w:rPr>
      </w:pPr>
    </w:p>
    <w:p w14:paraId="4C55484F" w14:textId="77777777" w:rsidR="00F94240" w:rsidRDefault="00F94240" w:rsidP="00F93FFE">
      <w:pPr>
        <w:rPr>
          <w:b/>
          <w:bCs/>
          <w:sz w:val="24"/>
          <w:szCs w:val="24"/>
        </w:rPr>
      </w:pPr>
    </w:p>
    <w:p w14:paraId="3CFD5949" w14:textId="77777777" w:rsidR="00F94240" w:rsidRDefault="00F94240" w:rsidP="00F93FFE">
      <w:pPr>
        <w:rPr>
          <w:b/>
          <w:bCs/>
          <w:sz w:val="24"/>
          <w:szCs w:val="24"/>
        </w:rPr>
      </w:pPr>
    </w:p>
    <w:p w14:paraId="4D49F5E4" w14:textId="77777777" w:rsidR="00F94240" w:rsidRDefault="00F94240" w:rsidP="00F93FFE">
      <w:pPr>
        <w:rPr>
          <w:b/>
          <w:bCs/>
          <w:sz w:val="24"/>
          <w:szCs w:val="24"/>
        </w:rPr>
      </w:pPr>
    </w:p>
    <w:p w14:paraId="085B1317" w14:textId="77777777" w:rsidR="00F94240" w:rsidRDefault="00F94240" w:rsidP="00F93FFE">
      <w:pPr>
        <w:rPr>
          <w:b/>
          <w:bCs/>
          <w:sz w:val="24"/>
          <w:szCs w:val="24"/>
        </w:rPr>
      </w:pPr>
    </w:p>
    <w:p w14:paraId="52137664" w14:textId="77777777" w:rsidR="00F94240" w:rsidRDefault="00F94240" w:rsidP="00F93FFE">
      <w:pPr>
        <w:rPr>
          <w:b/>
          <w:bCs/>
          <w:sz w:val="24"/>
          <w:szCs w:val="24"/>
        </w:rPr>
      </w:pPr>
    </w:p>
    <w:p w14:paraId="453E521F" w14:textId="77777777" w:rsidR="00336253" w:rsidRDefault="00336253" w:rsidP="00C55DEA">
      <w:pPr>
        <w:spacing w:line="240" w:lineRule="auto"/>
        <w:rPr>
          <w:b/>
          <w:bCs/>
          <w:color w:val="000000"/>
          <w:shd w:val="clear" w:color="auto" w:fill="FFFFFF"/>
        </w:rPr>
      </w:pPr>
    </w:p>
    <w:p w14:paraId="6830ABA9" w14:textId="0361AB0E" w:rsidR="00C55DEA" w:rsidRPr="006529B7" w:rsidRDefault="00C55DEA" w:rsidP="00C55DEA">
      <w:pPr>
        <w:spacing w:line="240" w:lineRule="auto"/>
        <w:rPr>
          <w:b/>
          <w:bCs/>
          <w:color w:val="000000"/>
          <w:shd w:val="clear" w:color="auto" w:fill="FFFFFF"/>
        </w:rPr>
      </w:pPr>
      <w:r>
        <w:rPr>
          <w:b/>
          <w:bCs/>
          <w:color w:val="000000"/>
          <w:shd w:val="clear" w:color="auto" w:fill="FFFFFF"/>
        </w:rPr>
        <w:t>Abbreviations:</w:t>
      </w:r>
    </w:p>
    <w:tbl>
      <w:tblPr>
        <w:tblStyle w:val="TableGrid"/>
        <w:tblW w:w="0" w:type="auto"/>
        <w:tblLook w:val="04A0" w:firstRow="1" w:lastRow="0" w:firstColumn="1" w:lastColumn="0" w:noHBand="0" w:noVBand="1"/>
      </w:tblPr>
      <w:tblGrid>
        <w:gridCol w:w="1458"/>
        <w:gridCol w:w="8118"/>
      </w:tblGrid>
      <w:tr w:rsidR="00C55DEA" w14:paraId="13B347B3" w14:textId="77777777" w:rsidTr="004876DF">
        <w:tc>
          <w:tcPr>
            <w:tcW w:w="1458" w:type="dxa"/>
          </w:tcPr>
          <w:p w14:paraId="2E3660FD" w14:textId="77777777" w:rsidR="00C55DEA" w:rsidRPr="006529B7" w:rsidRDefault="00C55DEA" w:rsidP="004876DF">
            <w:pPr>
              <w:rPr>
                <w:b/>
                <w:bCs/>
                <w:color w:val="000000"/>
                <w:shd w:val="clear" w:color="auto" w:fill="FFFFFF"/>
              </w:rPr>
            </w:pPr>
            <w:r w:rsidRPr="006529B7">
              <w:rPr>
                <w:b/>
                <w:bCs/>
                <w:color w:val="000000"/>
                <w:shd w:val="clear" w:color="auto" w:fill="FFFFFF"/>
              </w:rPr>
              <w:lastRenderedPageBreak/>
              <w:t>RPL</w:t>
            </w:r>
          </w:p>
        </w:tc>
        <w:tc>
          <w:tcPr>
            <w:tcW w:w="8118" w:type="dxa"/>
          </w:tcPr>
          <w:p w14:paraId="7733A7A4" w14:textId="77777777" w:rsidR="00C55DEA" w:rsidRDefault="00C55DEA" w:rsidP="004876DF">
            <w:pPr>
              <w:rPr>
                <w:color w:val="000000"/>
                <w:shd w:val="clear" w:color="auto" w:fill="FFFFFF"/>
              </w:rPr>
            </w:pPr>
            <w:r>
              <w:rPr>
                <w:color w:val="000000"/>
                <w:shd w:val="clear" w:color="auto" w:fill="FFFFFF"/>
              </w:rPr>
              <w:t>Recurrent Pregnancy Loss</w:t>
            </w:r>
          </w:p>
        </w:tc>
      </w:tr>
      <w:tr w:rsidR="00C55DEA" w14:paraId="4597D16B" w14:textId="77777777" w:rsidTr="004876DF">
        <w:tc>
          <w:tcPr>
            <w:tcW w:w="1458" w:type="dxa"/>
          </w:tcPr>
          <w:p w14:paraId="5FD26116" w14:textId="77777777" w:rsidR="00C55DEA" w:rsidRPr="006529B7" w:rsidRDefault="00C55DEA" w:rsidP="004876DF">
            <w:pPr>
              <w:rPr>
                <w:b/>
                <w:bCs/>
                <w:color w:val="000000"/>
                <w:shd w:val="clear" w:color="auto" w:fill="FFFFFF"/>
              </w:rPr>
            </w:pPr>
            <w:r w:rsidRPr="006529B7">
              <w:rPr>
                <w:b/>
                <w:bCs/>
                <w:color w:val="000000"/>
                <w:shd w:val="clear" w:color="auto" w:fill="FFFFFF"/>
              </w:rPr>
              <w:t>FFP</w:t>
            </w:r>
          </w:p>
        </w:tc>
        <w:tc>
          <w:tcPr>
            <w:tcW w:w="8118" w:type="dxa"/>
          </w:tcPr>
          <w:p w14:paraId="24E378A3" w14:textId="77777777" w:rsidR="00C55DEA" w:rsidRDefault="00C55DEA" w:rsidP="004876DF">
            <w:pPr>
              <w:rPr>
                <w:color w:val="000000"/>
                <w:shd w:val="clear" w:color="auto" w:fill="FFFFFF"/>
              </w:rPr>
            </w:pPr>
            <w:r>
              <w:rPr>
                <w:color w:val="000000"/>
                <w:shd w:val="clear" w:color="auto" w:fill="FFFFFF"/>
              </w:rPr>
              <w:t>Fresh Frozen plasma</w:t>
            </w:r>
          </w:p>
        </w:tc>
      </w:tr>
      <w:tr w:rsidR="00C55DEA" w14:paraId="00B0820D" w14:textId="77777777" w:rsidTr="004876DF">
        <w:tc>
          <w:tcPr>
            <w:tcW w:w="1458" w:type="dxa"/>
          </w:tcPr>
          <w:p w14:paraId="6C49C54B" w14:textId="77777777" w:rsidR="00C55DEA" w:rsidRPr="006529B7" w:rsidRDefault="00C55DEA" w:rsidP="004876DF">
            <w:pPr>
              <w:rPr>
                <w:b/>
                <w:bCs/>
                <w:color w:val="000000"/>
                <w:shd w:val="clear" w:color="auto" w:fill="FFFFFF"/>
              </w:rPr>
            </w:pPr>
            <w:r w:rsidRPr="006529B7">
              <w:rPr>
                <w:b/>
                <w:bCs/>
                <w:color w:val="000000"/>
                <w:shd w:val="clear" w:color="auto" w:fill="FFFFFF"/>
              </w:rPr>
              <w:t>VTE</w:t>
            </w:r>
          </w:p>
        </w:tc>
        <w:tc>
          <w:tcPr>
            <w:tcW w:w="8118" w:type="dxa"/>
          </w:tcPr>
          <w:p w14:paraId="6522BCC3" w14:textId="77777777" w:rsidR="00C55DEA" w:rsidRDefault="00C55DEA" w:rsidP="004876DF">
            <w:pPr>
              <w:rPr>
                <w:color w:val="000000"/>
                <w:shd w:val="clear" w:color="auto" w:fill="FFFFFF"/>
              </w:rPr>
            </w:pPr>
            <w:r>
              <w:rPr>
                <w:color w:val="000000"/>
                <w:shd w:val="clear" w:color="auto" w:fill="FFFFFF"/>
              </w:rPr>
              <w:t>Venous Thromboembolism</w:t>
            </w:r>
          </w:p>
        </w:tc>
      </w:tr>
      <w:tr w:rsidR="00C55DEA" w14:paraId="69B4F034" w14:textId="77777777" w:rsidTr="004876DF">
        <w:tc>
          <w:tcPr>
            <w:tcW w:w="1458" w:type="dxa"/>
          </w:tcPr>
          <w:p w14:paraId="0E79CDD8" w14:textId="77777777" w:rsidR="00C55DEA" w:rsidRPr="00C24B09" w:rsidRDefault="00C55DEA" w:rsidP="004876DF">
            <w:pPr>
              <w:rPr>
                <w:b/>
                <w:bCs/>
                <w:color w:val="000000"/>
                <w:shd w:val="clear" w:color="auto" w:fill="FFFFFF"/>
              </w:rPr>
            </w:pPr>
            <w:r w:rsidRPr="00C24B09">
              <w:rPr>
                <w:b/>
                <w:bCs/>
                <w:color w:val="000000"/>
                <w:shd w:val="clear" w:color="auto" w:fill="FFFFFF"/>
              </w:rPr>
              <w:t>CAD</w:t>
            </w:r>
          </w:p>
        </w:tc>
        <w:tc>
          <w:tcPr>
            <w:tcW w:w="8118" w:type="dxa"/>
          </w:tcPr>
          <w:p w14:paraId="71DA95E2" w14:textId="77777777" w:rsidR="00C55DEA" w:rsidRDefault="00C55DEA" w:rsidP="004876DF">
            <w:pPr>
              <w:rPr>
                <w:color w:val="000000"/>
                <w:shd w:val="clear" w:color="auto" w:fill="FFFFFF"/>
              </w:rPr>
            </w:pPr>
            <w:r>
              <w:rPr>
                <w:color w:val="000000"/>
                <w:shd w:val="clear" w:color="auto" w:fill="FFFFFF"/>
              </w:rPr>
              <w:t>Coronary Artery Disease</w:t>
            </w:r>
          </w:p>
        </w:tc>
      </w:tr>
      <w:tr w:rsidR="00C55DEA" w14:paraId="42073C36" w14:textId="77777777" w:rsidTr="004876DF">
        <w:tc>
          <w:tcPr>
            <w:tcW w:w="1458" w:type="dxa"/>
          </w:tcPr>
          <w:p w14:paraId="5D6FEF1A" w14:textId="77777777" w:rsidR="00C55DEA" w:rsidRPr="00C24B09" w:rsidRDefault="00C55DEA" w:rsidP="004876DF">
            <w:pPr>
              <w:rPr>
                <w:b/>
                <w:bCs/>
                <w:color w:val="000000"/>
                <w:shd w:val="clear" w:color="auto" w:fill="FFFFFF"/>
              </w:rPr>
            </w:pPr>
            <w:r w:rsidRPr="00C24B09">
              <w:rPr>
                <w:b/>
                <w:bCs/>
                <w:color w:val="000000"/>
                <w:shd w:val="clear" w:color="auto" w:fill="FFFFFF"/>
              </w:rPr>
              <w:t>CBC</w:t>
            </w:r>
          </w:p>
        </w:tc>
        <w:tc>
          <w:tcPr>
            <w:tcW w:w="8118" w:type="dxa"/>
          </w:tcPr>
          <w:p w14:paraId="2A34AE16" w14:textId="77777777" w:rsidR="00C55DEA" w:rsidRDefault="00C55DEA" w:rsidP="004876DF">
            <w:pPr>
              <w:rPr>
                <w:color w:val="000000"/>
                <w:shd w:val="clear" w:color="auto" w:fill="FFFFFF"/>
              </w:rPr>
            </w:pPr>
            <w:r>
              <w:rPr>
                <w:color w:val="000000"/>
                <w:shd w:val="clear" w:color="auto" w:fill="FFFFFF"/>
              </w:rPr>
              <w:t>Complete Blood Count</w:t>
            </w:r>
          </w:p>
        </w:tc>
      </w:tr>
      <w:tr w:rsidR="00C55DEA" w14:paraId="1CD33932" w14:textId="77777777" w:rsidTr="004876DF">
        <w:tc>
          <w:tcPr>
            <w:tcW w:w="1458" w:type="dxa"/>
          </w:tcPr>
          <w:p w14:paraId="2A9DC2A1" w14:textId="77777777" w:rsidR="00C55DEA" w:rsidRPr="00C24B09" w:rsidRDefault="00C55DEA" w:rsidP="004876DF">
            <w:pPr>
              <w:rPr>
                <w:b/>
                <w:bCs/>
                <w:color w:val="000000"/>
                <w:shd w:val="clear" w:color="auto" w:fill="FFFFFF"/>
              </w:rPr>
            </w:pPr>
            <w:r w:rsidRPr="00C24B09">
              <w:rPr>
                <w:b/>
                <w:bCs/>
                <w:color w:val="000000"/>
                <w:shd w:val="clear" w:color="auto" w:fill="FFFFFF"/>
              </w:rPr>
              <w:t>TSH</w:t>
            </w:r>
          </w:p>
        </w:tc>
        <w:tc>
          <w:tcPr>
            <w:tcW w:w="8118" w:type="dxa"/>
          </w:tcPr>
          <w:p w14:paraId="01405A42" w14:textId="77777777" w:rsidR="00C55DEA" w:rsidRDefault="00C55DEA" w:rsidP="004876DF">
            <w:pPr>
              <w:rPr>
                <w:color w:val="000000"/>
                <w:shd w:val="clear" w:color="auto" w:fill="FFFFFF"/>
              </w:rPr>
            </w:pPr>
            <w:r>
              <w:rPr>
                <w:color w:val="000000"/>
                <w:shd w:val="clear" w:color="auto" w:fill="FFFFFF"/>
              </w:rPr>
              <w:t>Thyroid Stimulating Hormone</w:t>
            </w:r>
          </w:p>
        </w:tc>
      </w:tr>
      <w:tr w:rsidR="00C55DEA" w14:paraId="28558B0E" w14:textId="77777777" w:rsidTr="004876DF">
        <w:tc>
          <w:tcPr>
            <w:tcW w:w="1458" w:type="dxa"/>
          </w:tcPr>
          <w:p w14:paraId="6E45F4E0" w14:textId="77777777" w:rsidR="00C55DEA" w:rsidRPr="00C24B09" w:rsidRDefault="00C55DEA" w:rsidP="004876DF">
            <w:pPr>
              <w:rPr>
                <w:b/>
                <w:bCs/>
                <w:color w:val="000000"/>
                <w:shd w:val="clear" w:color="auto" w:fill="FFFFFF"/>
              </w:rPr>
            </w:pPr>
            <w:r w:rsidRPr="00C24B09">
              <w:rPr>
                <w:b/>
                <w:bCs/>
                <w:color w:val="000000"/>
                <w:shd w:val="clear" w:color="auto" w:fill="FFFFFF"/>
              </w:rPr>
              <w:t>APS</w:t>
            </w:r>
          </w:p>
        </w:tc>
        <w:tc>
          <w:tcPr>
            <w:tcW w:w="8118" w:type="dxa"/>
          </w:tcPr>
          <w:p w14:paraId="0CD0262F" w14:textId="77777777" w:rsidR="00C55DEA" w:rsidRDefault="00C55DEA" w:rsidP="004876DF">
            <w:pPr>
              <w:rPr>
                <w:color w:val="000000"/>
                <w:shd w:val="clear" w:color="auto" w:fill="FFFFFF"/>
              </w:rPr>
            </w:pPr>
            <w:proofErr w:type="spellStart"/>
            <w:r>
              <w:rPr>
                <w:color w:val="000000"/>
                <w:shd w:val="clear" w:color="auto" w:fill="FFFFFF"/>
              </w:rPr>
              <w:t>Antiphospholipid</w:t>
            </w:r>
            <w:proofErr w:type="spellEnd"/>
            <w:r>
              <w:rPr>
                <w:color w:val="000000"/>
                <w:shd w:val="clear" w:color="auto" w:fill="FFFFFF"/>
              </w:rPr>
              <w:t xml:space="preserve"> Syndrome</w:t>
            </w:r>
          </w:p>
        </w:tc>
      </w:tr>
      <w:tr w:rsidR="00C55DEA" w14:paraId="27E7DE60" w14:textId="77777777" w:rsidTr="004876DF">
        <w:tc>
          <w:tcPr>
            <w:tcW w:w="1458" w:type="dxa"/>
          </w:tcPr>
          <w:p w14:paraId="74C4517A" w14:textId="77777777" w:rsidR="00C55DEA" w:rsidRPr="00C24B09" w:rsidRDefault="00C55DEA" w:rsidP="004876DF">
            <w:pPr>
              <w:rPr>
                <w:b/>
                <w:bCs/>
                <w:color w:val="000000"/>
                <w:shd w:val="clear" w:color="auto" w:fill="FFFFFF"/>
              </w:rPr>
            </w:pPr>
            <w:r w:rsidRPr="00C24B09">
              <w:rPr>
                <w:rFonts w:cstheme="minorHAnsi"/>
                <w:b/>
                <w:bCs/>
              </w:rPr>
              <w:t>MTHFR</w:t>
            </w:r>
          </w:p>
        </w:tc>
        <w:tc>
          <w:tcPr>
            <w:tcW w:w="8118" w:type="dxa"/>
          </w:tcPr>
          <w:p w14:paraId="2A76BAC5" w14:textId="77777777" w:rsidR="00C55DEA" w:rsidRDefault="00C55DEA" w:rsidP="004876DF">
            <w:pPr>
              <w:rPr>
                <w:color w:val="000000"/>
                <w:shd w:val="clear" w:color="auto" w:fill="FFFFFF"/>
              </w:rPr>
            </w:pPr>
            <w:r w:rsidRPr="00DF67DF">
              <w:rPr>
                <w:rFonts w:cstheme="minorHAnsi"/>
              </w:rPr>
              <w:t xml:space="preserve">Methylene </w:t>
            </w:r>
            <w:proofErr w:type="spellStart"/>
            <w:r w:rsidRPr="00DF67DF">
              <w:rPr>
                <w:rFonts w:cstheme="minorHAnsi"/>
              </w:rPr>
              <w:t>te</w:t>
            </w:r>
            <w:r>
              <w:rPr>
                <w:rFonts w:cstheme="minorHAnsi"/>
              </w:rPr>
              <w:t>trahydrofolate</w:t>
            </w:r>
            <w:proofErr w:type="spellEnd"/>
            <w:r>
              <w:rPr>
                <w:rFonts w:cstheme="minorHAnsi"/>
              </w:rPr>
              <w:t xml:space="preserve"> </w:t>
            </w:r>
            <w:proofErr w:type="spellStart"/>
            <w:r>
              <w:rPr>
                <w:rFonts w:cstheme="minorHAnsi"/>
              </w:rPr>
              <w:t>reductase</w:t>
            </w:r>
            <w:proofErr w:type="spellEnd"/>
            <w:r>
              <w:rPr>
                <w:rFonts w:cstheme="minorHAnsi"/>
              </w:rPr>
              <w:t xml:space="preserve"> </w:t>
            </w:r>
          </w:p>
        </w:tc>
      </w:tr>
      <w:tr w:rsidR="00C55DEA" w14:paraId="654E9F20" w14:textId="77777777" w:rsidTr="004876DF">
        <w:tc>
          <w:tcPr>
            <w:tcW w:w="1458" w:type="dxa"/>
          </w:tcPr>
          <w:p w14:paraId="054AD54E" w14:textId="77777777" w:rsidR="00C55DEA" w:rsidRPr="008901AE" w:rsidRDefault="00C55DEA" w:rsidP="004876DF">
            <w:pPr>
              <w:rPr>
                <w:rFonts w:cstheme="minorHAnsi"/>
                <w:b/>
                <w:bCs/>
              </w:rPr>
            </w:pPr>
            <w:r w:rsidRPr="008901AE">
              <w:rPr>
                <w:rFonts w:cstheme="minorHAnsi"/>
                <w:b/>
                <w:bCs/>
              </w:rPr>
              <w:t>PAI-1</w:t>
            </w:r>
          </w:p>
        </w:tc>
        <w:tc>
          <w:tcPr>
            <w:tcW w:w="8118" w:type="dxa"/>
          </w:tcPr>
          <w:p w14:paraId="22E5CF4E" w14:textId="77777777" w:rsidR="00C55DEA" w:rsidRPr="00DF67DF" w:rsidRDefault="00C55DEA" w:rsidP="004876DF">
            <w:pPr>
              <w:rPr>
                <w:rFonts w:cstheme="minorHAnsi"/>
              </w:rPr>
            </w:pPr>
            <w:r w:rsidRPr="00DF67DF">
              <w:rPr>
                <w:rFonts w:cstheme="minorHAnsi"/>
              </w:rPr>
              <w:t>Plasminog</w:t>
            </w:r>
            <w:r>
              <w:rPr>
                <w:rFonts w:cstheme="minorHAnsi"/>
              </w:rPr>
              <w:t>en activator inhibitor</w:t>
            </w:r>
          </w:p>
        </w:tc>
      </w:tr>
      <w:tr w:rsidR="00C55DEA" w14:paraId="42472102" w14:textId="77777777" w:rsidTr="004876DF">
        <w:tc>
          <w:tcPr>
            <w:tcW w:w="1458" w:type="dxa"/>
          </w:tcPr>
          <w:p w14:paraId="2DB8B6EF" w14:textId="77777777" w:rsidR="00C55DEA" w:rsidRPr="00533BB9" w:rsidRDefault="00C55DEA" w:rsidP="004876DF">
            <w:pPr>
              <w:rPr>
                <w:rFonts w:cstheme="minorHAnsi"/>
                <w:b/>
                <w:bCs/>
              </w:rPr>
            </w:pPr>
            <w:r w:rsidRPr="00533BB9">
              <w:rPr>
                <w:rFonts w:cstheme="minorHAnsi"/>
                <w:b/>
                <w:bCs/>
              </w:rPr>
              <w:t>IUFD</w:t>
            </w:r>
          </w:p>
        </w:tc>
        <w:tc>
          <w:tcPr>
            <w:tcW w:w="8118" w:type="dxa"/>
          </w:tcPr>
          <w:p w14:paraId="224EC0CC" w14:textId="77777777" w:rsidR="00C55DEA" w:rsidRPr="00DF67DF" w:rsidRDefault="00C55DEA" w:rsidP="004876DF">
            <w:pPr>
              <w:rPr>
                <w:rFonts w:cstheme="minorHAnsi"/>
              </w:rPr>
            </w:pPr>
            <w:r>
              <w:rPr>
                <w:rFonts w:cstheme="minorHAnsi"/>
              </w:rPr>
              <w:t xml:space="preserve">Intrauterine Fetal Death </w:t>
            </w:r>
          </w:p>
        </w:tc>
      </w:tr>
      <w:tr w:rsidR="00C55DEA" w14:paraId="77AA31BD" w14:textId="77777777" w:rsidTr="004876DF">
        <w:tc>
          <w:tcPr>
            <w:tcW w:w="1458" w:type="dxa"/>
          </w:tcPr>
          <w:p w14:paraId="3DCA2DD5" w14:textId="77777777" w:rsidR="00C55DEA" w:rsidRPr="004B5A5E" w:rsidRDefault="00C55DEA" w:rsidP="004876DF">
            <w:pPr>
              <w:rPr>
                <w:rFonts w:cstheme="minorHAnsi"/>
                <w:b/>
                <w:bCs/>
              </w:rPr>
            </w:pPr>
            <w:r w:rsidRPr="004B5A5E">
              <w:rPr>
                <w:rFonts w:cstheme="minorHAnsi"/>
                <w:b/>
                <w:bCs/>
              </w:rPr>
              <w:t>ACE</w:t>
            </w:r>
          </w:p>
        </w:tc>
        <w:tc>
          <w:tcPr>
            <w:tcW w:w="8118" w:type="dxa"/>
          </w:tcPr>
          <w:p w14:paraId="104D11A2" w14:textId="77777777" w:rsidR="00C55DEA" w:rsidRDefault="00C55DEA" w:rsidP="004876DF">
            <w:pPr>
              <w:rPr>
                <w:rFonts w:cstheme="minorHAnsi"/>
              </w:rPr>
            </w:pPr>
            <w:r w:rsidRPr="005B5EAD">
              <w:rPr>
                <w:rFonts w:cstheme="minorHAnsi"/>
              </w:rPr>
              <w:t>angi</w:t>
            </w:r>
            <w:r>
              <w:rPr>
                <w:rFonts w:cstheme="minorHAnsi"/>
              </w:rPr>
              <w:t xml:space="preserve">otensin-converting enzyme </w:t>
            </w:r>
          </w:p>
        </w:tc>
      </w:tr>
      <w:tr w:rsidR="00C55DEA" w14:paraId="3FE80C4C" w14:textId="77777777" w:rsidTr="004876DF">
        <w:tc>
          <w:tcPr>
            <w:tcW w:w="1458" w:type="dxa"/>
          </w:tcPr>
          <w:p w14:paraId="57432136" w14:textId="77777777" w:rsidR="00C55DEA" w:rsidRPr="00027518" w:rsidRDefault="00C55DEA" w:rsidP="004876DF">
            <w:pPr>
              <w:rPr>
                <w:rFonts w:cstheme="minorHAnsi"/>
                <w:b/>
                <w:bCs/>
              </w:rPr>
            </w:pPr>
            <w:r w:rsidRPr="00027518">
              <w:rPr>
                <w:b/>
                <w:bCs/>
              </w:rPr>
              <w:t>TVS</w:t>
            </w:r>
          </w:p>
        </w:tc>
        <w:tc>
          <w:tcPr>
            <w:tcW w:w="8118" w:type="dxa"/>
          </w:tcPr>
          <w:p w14:paraId="455DF0B4" w14:textId="77777777" w:rsidR="00C55DEA" w:rsidRDefault="00C55DEA" w:rsidP="004876DF">
            <w:pPr>
              <w:rPr>
                <w:rFonts w:cstheme="minorHAnsi"/>
              </w:rPr>
            </w:pPr>
            <w:proofErr w:type="spellStart"/>
            <w:r>
              <w:t>Transvaginal</w:t>
            </w:r>
            <w:proofErr w:type="spellEnd"/>
            <w:r>
              <w:t xml:space="preserve"> Ultrasound Scan </w:t>
            </w:r>
          </w:p>
        </w:tc>
      </w:tr>
      <w:tr w:rsidR="00C55DEA" w14:paraId="54EE4C49" w14:textId="77777777" w:rsidTr="004876DF">
        <w:tc>
          <w:tcPr>
            <w:tcW w:w="1458" w:type="dxa"/>
          </w:tcPr>
          <w:p w14:paraId="442C9075" w14:textId="77777777" w:rsidR="00C55DEA" w:rsidRPr="003E68C5" w:rsidRDefault="00C55DEA" w:rsidP="004876DF">
            <w:pPr>
              <w:rPr>
                <w:b/>
                <w:bCs/>
              </w:rPr>
            </w:pPr>
            <w:r w:rsidRPr="003E68C5">
              <w:rPr>
                <w:b/>
                <w:bCs/>
                <w:color w:val="000000"/>
                <w:shd w:val="clear" w:color="auto" w:fill="FFFFFF"/>
              </w:rPr>
              <w:t>VBAC</w:t>
            </w:r>
          </w:p>
        </w:tc>
        <w:tc>
          <w:tcPr>
            <w:tcW w:w="8118" w:type="dxa"/>
          </w:tcPr>
          <w:p w14:paraId="7CAEB1F7" w14:textId="77777777" w:rsidR="00C55DEA" w:rsidRDefault="00C55DEA" w:rsidP="004876DF">
            <w:r>
              <w:rPr>
                <w:color w:val="000000"/>
                <w:shd w:val="clear" w:color="auto" w:fill="FFFFFF"/>
              </w:rPr>
              <w:t xml:space="preserve">vaginal birth after Cesarean </w:t>
            </w:r>
          </w:p>
        </w:tc>
      </w:tr>
      <w:tr w:rsidR="00C55DEA" w14:paraId="38D78597" w14:textId="77777777" w:rsidTr="004876DF">
        <w:tc>
          <w:tcPr>
            <w:tcW w:w="1458" w:type="dxa"/>
          </w:tcPr>
          <w:p w14:paraId="54F17A97" w14:textId="77777777" w:rsidR="00C55DEA" w:rsidRPr="000F6FB9" w:rsidRDefault="00C55DEA" w:rsidP="004876DF">
            <w:pPr>
              <w:rPr>
                <w:b/>
                <w:bCs/>
              </w:rPr>
            </w:pPr>
            <w:r w:rsidRPr="000F6FB9">
              <w:rPr>
                <w:b/>
                <w:bCs/>
                <w:color w:val="000000"/>
                <w:shd w:val="clear" w:color="auto" w:fill="FFFFFF"/>
              </w:rPr>
              <w:t>LUCS</w:t>
            </w:r>
          </w:p>
        </w:tc>
        <w:tc>
          <w:tcPr>
            <w:tcW w:w="8118" w:type="dxa"/>
          </w:tcPr>
          <w:p w14:paraId="4EF8C62D" w14:textId="77777777" w:rsidR="00C55DEA" w:rsidRDefault="00C55DEA" w:rsidP="004876DF">
            <w:r>
              <w:rPr>
                <w:color w:val="000000"/>
                <w:shd w:val="clear" w:color="auto" w:fill="FFFFFF"/>
              </w:rPr>
              <w:t>Lower segment Cesarean section</w:t>
            </w:r>
          </w:p>
        </w:tc>
      </w:tr>
      <w:tr w:rsidR="00C55DEA" w14:paraId="1265D8EB" w14:textId="77777777" w:rsidTr="004876DF">
        <w:tc>
          <w:tcPr>
            <w:tcW w:w="1458" w:type="dxa"/>
          </w:tcPr>
          <w:p w14:paraId="3F2CB225" w14:textId="77777777" w:rsidR="00C55DEA" w:rsidRPr="00AA67D2" w:rsidRDefault="00C55DEA" w:rsidP="004876DF">
            <w:pPr>
              <w:rPr>
                <w:b/>
                <w:bCs/>
                <w:color w:val="000000"/>
                <w:shd w:val="clear" w:color="auto" w:fill="FFFFFF"/>
              </w:rPr>
            </w:pPr>
            <w:r w:rsidRPr="00AA67D2">
              <w:rPr>
                <w:b/>
                <w:bCs/>
                <w:color w:val="000000"/>
                <w:shd w:val="clear" w:color="auto" w:fill="FFFFFF"/>
              </w:rPr>
              <w:t>NICU</w:t>
            </w:r>
          </w:p>
        </w:tc>
        <w:tc>
          <w:tcPr>
            <w:tcW w:w="8118" w:type="dxa"/>
          </w:tcPr>
          <w:p w14:paraId="30BB0970" w14:textId="77777777" w:rsidR="00C55DEA" w:rsidRDefault="00C55DEA" w:rsidP="004876DF">
            <w:pPr>
              <w:rPr>
                <w:color w:val="000000"/>
                <w:shd w:val="clear" w:color="auto" w:fill="FFFFFF"/>
              </w:rPr>
            </w:pPr>
            <w:r>
              <w:rPr>
                <w:color w:val="000000"/>
                <w:shd w:val="clear" w:color="auto" w:fill="FFFFFF"/>
              </w:rPr>
              <w:t xml:space="preserve">Neonatal Intensive Care Unit Admission </w:t>
            </w:r>
          </w:p>
        </w:tc>
      </w:tr>
    </w:tbl>
    <w:p w14:paraId="707EDA19" w14:textId="77777777" w:rsidR="00F94240" w:rsidRDefault="00F94240" w:rsidP="00F93FFE">
      <w:pPr>
        <w:rPr>
          <w:b/>
          <w:bCs/>
          <w:sz w:val="24"/>
          <w:szCs w:val="24"/>
        </w:rPr>
      </w:pPr>
    </w:p>
    <w:p w14:paraId="0D404D33" w14:textId="77777777" w:rsidR="00F94240" w:rsidRDefault="00F94240" w:rsidP="00F93FFE">
      <w:pPr>
        <w:rPr>
          <w:b/>
          <w:bCs/>
          <w:sz w:val="24"/>
          <w:szCs w:val="24"/>
        </w:rPr>
      </w:pPr>
    </w:p>
    <w:p w14:paraId="40FF2D93" w14:textId="77777777" w:rsidR="004D057D" w:rsidRDefault="004D057D" w:rsidP="00F93FFE">
      <w:pPr>
        <w:rPr>
          <w:b/>
          <w:bCs/>
          <w:sz w:val="24"/>
          <w:szCs w:val="24"/>
        </w:rPr>
      </w:pPr>
    </w:p>
    <w:p w14:paraId="1884396B" w14:textId="77777777" w:rsidR="004D057D" w:rsidRDefault="004D057D" w:rsidP="00F93FFE">
      <w:pPr>
        <w:rPr>
          <w:b/>
          <w:bCs/>
          <w:sz w:val="24"/>
          <w:szCs w:val="24"/>
        </w:rPr>
      </w:pPr>
    </w:p>
    <w:p w14:paraId="239B8F9F" w14:textId="77777777" w:rsidR="004D057D" w:rsidRDefault="004D057D" w:rsidP="00F93FFE">
      <w:pPr>
        <w:rPr>
          <w:b/>
          <w:bCs/>
          <w:sz w:val="24"/>
          <w:szCs w:val="24"/>
        </w:rPr>
      </w:pPr>
    </w:p>
    <w:p w14:paraId="21E180C2" w14:textId="77777777" w:rsidR="004D057D" w:rsidRDefault="004D057D" w:rsidP="00F93FFE">
      <w:pPr>
        <w:rPr>
          <w:b/>
          <w:bCs/>
          <w:sz w:val="24"/>
          <w:szCs w:val="24"/>
        </w:rPr>
      </w:pPr>
    </w:p>
    <w:p w14:paraId="63155C94" w14:textId="77777777" w:rsidR="004D057D" w:rsidRDefault="004D057D" w:rsidP="00F93FFE">
      <w:pPr>
        <w:rPr>
          <w:b/>
          <w:bCs/>
          <w:sz w:val="24"/>
          <w:szCs w:val="24"/>
        </w:rPr>
      </w:pPr>
    </w:p>
    <w:p w14:paraId="458D8C42" w14:textId="77777777" w:rsidR="004D057D" w:rsidRDefault="004D057D" w:rsidP="00F93FFE">
      <w:pPr>
        <w:rPr>
          <w:b/>
          <w:bCs/>
          <w:sz w:val="24"/>
          <w:szCs w:val="24"/>
        </w:rPr>
      </w:pPr>
    </w:p>
    <w:p w14:paraId="624A886E" w14:textId="77777777" w:rsidR="004D057D" w:rsidRDefault="004D057D" w:rsidP="00F93FFE">
      <w:pPr>
        <w:rPr>
          <w:b/>
          <w:bCs/>
          <w:sz w:val="24"/>
          <w:szCs w:val="24"/>
        </w:rPr>
      </w:pPr>
    </w:p>
    <w:p w14:paraId="6060D699" w14:textId="77777777" w:rsidR="004D057D" w:rsidRDefault="004D057D" w:rsidP="00F93FFE">
      <w:pPr>
        <w:rPr>
          <w:b/>
          <w:bCs/>
          <w:sz w:val="24"/>
          <w:szCs w:val="24"/>
        </w:rPr>
      </w:pPr>
    </w:p>
    <w:p w14:paraId="7E15A856" w14:textId="77777777" w:rsidR="004D057D" w:rsidRDefault="004D057D" w:rsidP="00F93FFE">
      <w:pPr>
        <w:rPr>
          <w:b/>
          <w:bCs/>
          <w:sz w:val="24"/>
          <w:szCs w:val="24"/>
        </w:rPr>
      </w:pPr>
    </w:p>
    <w:p w14:paraId="1FE7D5A5" w14:textId="77777777" w:rsidR="004D057D" w:rsidRDefault="004D057D" w:rsidP="00F93FFE">
      <w:pPr>
        <w:rPr>
          <w:b/>
          <w:bCs/>
          <w:sz w:val="24"/>
          <w:szCs w:val="24"/>
        </w:rPr>
      </w:pPr>
    </w:p>
    <w:p w14:paraId="1BFBCBB9" w14:textId="77777777" w:rsidR="004D057D" w:rsidRDefault="004D057D" w:rsidP="00F93FFE">
      <w:pPr>
        <w:rPr>
          <w:b/>
          <w:bCs/>
          <w:sz w:val="24"/>
          <w:szCs w:val="24"/>
        </w:rPr>
      </w:pPr>
    </w:p>
    <w:p w14:paraId="490674F6" w14:textId="77777777" w:rsidR="006245CF" w:rsidRDefault="006245CF" w:rsidP="00F93FFE">
      <w:pPr>
        <w:rPr>
          <w:b/>
          <w:bCs/>
          <w:sz w:val="24"/>
          <w:szCs w:val="24"/>
        </w:rPr>
      </w:pPr>
    </w:p>
    <w:p w14:paraId="5C1C0AEA" w14:textId="77777777" w:rsidR="003753AA" w:rsidRDefault="003753AA" w:rsidP="00F93FFE">
      <w:pPr>
        <w:rPr>
          <w:b/>
          <w:bCs/>
          <w:sz w:val="24"/>
          <w:szCs w:val="24"/>
        </w:rPr>
      </w:pPr>
    </w:p>
    <w:p w14:paraId="30C7C54D" w14:textId="14BAC4C9" w:rsidR="00F93FFE" w:rsidRPr="00375AD5" w:rsidRDefault="00F93FFE" w:rsidP="00F93FFE">
      <w:pPr>
        <w:rPr>
          <w:b/>
          <w:bCs/>
          <w:sz w:val="24"/>
          <w:szCs w:val="24"/>
        </w:rPr>
      </w:pPr>
      <w:r w:rsidRPr="00375AD5">
        <w:rPr>
          <w:b/>
          <w:bCs/>
          <w:sz w:val="24"/>
          <w:szCs w:val="24"/>
        </w:rPr>
        <w:t>Declarations</w:t>
      </w:r>
    </w:p>
    <w:p w14:paraId="7AE8F3C2" w14:textId="77777777" w:rsidR="00F93FFE" w:rsidRDefault="00F93FFE" w:rsidP="00F93FFE">
      <w:pPr>
        <w:pStyle w:val="ListParagraph"/>
        <w:numPr>
          <w:ilvl w:val="0"/>
          <w:numId w:val="4"/>
        </w:numPr>
        <w:shd w:val="clear" w:color="auto" w:fill="FFFFFF"/>
        <w:spacing w:before="100" w:beforeAutospacing="1" w:after="100" w:afterAutospacing="1" w:line="240" w:lineRule="auto"/>
        <w:rPr>
          <w:rFonts w:ascii="Verdana" w:eastAsia="Times New Roman" w:hAnsi="Verdana" w:cs="Times New Roman"/>
          <w:b/>
          <w:bCs/>
          <w:color w:val="222222"/>
          <w:sz w:val="18"/>
          <w:szCs w:val="18"/>
        </w:rPr>
      </w:pPr>
      <w:r w:rsidRPr="00576258">
        <w:rPr>
          <w:rFonts w:ascii="Verdana" w:eastAsia="Times New Roman" w:hAnsi="Verdana" w:cs="Times New Roman"/>
          <w:b/>
          <w:bCs/>
          <w:color w:val="222222"/>
          <w:sz w:val="18"/>
          <w:szCs w:val="18"/>
        </w:rPr>
        <w:lastRenderedPageBreak/>
        <w:t>Ethics approval and consent to participate</w:t>
      </w:r>
    </w:p>
    <w:p w14:paraId="02D089B9" w14:textId="456ED935" w:rsidR="00F93FFE" w:rsidRPr="00696DEF" w:rsidRDefault="00F93FFE" w:rsidP="009C739F">
      <w:pPr>
        <w:shd w:val="clear" w:color="auto" w:fill="FFFFFF"/>
        <w:spacing w:before="100" w:beforeAutospacing="1" w:after="100" w:afterAutospacing="1" w:line="240" w:lineRule="auto"/>
        <w:rPr>
          <w:color w:val="000000"/>
          <w:shd w:val="clear" w:color="auto" w:fill="FFFFFF"/>
        </w:rPr>
      </w:pPr>
      <w:r w:rsidRPr="00696DEF">
        <w:rPr>
          <w:color w:val="000000"/>
          <w:shd w:val="clear" w:color="auto" w:fill="FFFFFF"/>
        </w:rPr>
        <w:t>Ethical approval was obtai</w:t>
      </w:r>
      <w:r w:rsidR="00582707">
        <w:rPr>
          <w:color w:val="000000"/>
          <w:shd w:val="clear" w:color="auto" w:fill="FFFFFF"/>
        </w:rPr>
        <w:t xml:space="preserve">ned from the Helsinki Committee </w:t>
      </w:r>
      <w:r w:rsidRPr="00696DEF">
        <w:rPr>
          <w:color w:val="000000"/>
          <w:shd w:val="clear" w:color="auto" w:fill="FFFFFF"/>
        </w:rPr>
        <w:t>in the Ministry of Health in Gaza, Palestine.</w:t>
      </w:r>
    </w:p>
    <w:p w14:paraId="154020D4" w14:textId="77777777" w:rsidR="00F93FFE" w:rsidRPr="00BF64E6" w:rsidRDefault="00F93FFE" w:rsidP="00F93FFE">
      <w:pPr>
        <w:numPr>
          <w:ilvl w:val="0"/>
          <w:numId w:val="4"/>
        </w:numPr>
        <w:shd w:val="clear" w:color="auto" w:fill="FFFFFF"/>
        <w:spacing w:before="100" w:beforeAutospacing="1" w:after="100" w:afterAutospacing="1" w:line="240" w:lineRule="auto"/>
        <w:rPr>
          <w:rFonts w:ascii="Verdana" w:eastAsia="Times New Roman" w:hAnsi="Verdana" w:cs="Times New Roman"/>
          <w:b/>
          <w:bCs/>
          <w:color w:val="222222"/>
          <w:sz w:val="18"/>
          <w:szCs w:val="18"/>
        </w:rPr>
      </w:pPr>
      <w:r w:rsidRPr="00BF64E6">
        <w:rPr>
          <w:rFonts w:ascii="Verdana" w:eastAsia="Times New Roman" w:hAnsi="Verdana" w:cs="Times New Roman"/>
          <w:b/>
          <w:bCs/>
          <w:color w:val="222222"/>
          <w:sz w:val="18"/>
          <w:szCs w:val="18"/>
        </w:rPr>
        <w:t>Consent for publication</w:t>
      </w:r>
    </w:p>
    <w:p w14:paraId="7A97C7E0" w14:textId="7C60CD8F" w:rsidR="00F93FFE" w:rsidRDefault="004F287E" w:rsidP="009C739F">
      <w:pPr>
        <w:shd w:val="clear" w:color="auto" w:fill="FFFFFF"/>
        <w:spacing w:before="100" w:beforeAutospacing="1" w:after="100" w:afterAutospacing="1" w:line="240" w:lineRule="auto"/>
        <w:rPr>
          <w:color w:val="000000"/>
          <w:shd w:val="clear" w:color="auto" w:fill="FFFFFF"/>
        </w:rPr>
      </w:pPr>
      <w:r>
        <w:rPr>
          <w:color w:val="000000"/>
          <w:shd w:val="clear" w:color="auto" w:fill="FFFFFF"/>
        </w:rPr>
        <w:t>Patients were asked to sign written consent to be included in this study, and consents will be provided when requested.</w:t>
      </w:r>
    </w:p>
    <w:p w14:paraId="7892B140" w14:textId="51FA59EC" w:rsidR="00C2689C" w:rsidRPr="00696DEF" w:rsidRDefault="00C2689C" w:rsidP="009C739F">
      <w:pPr>
        <w:shd w:val="clear" w:color="auto" w:fill="FFFFFF"/>
        <w:spacing w:before="100" w:beforeAutospacing="1" w:after="100" w:afterAutospacing="1" w:line="240" w:lineRule="auto"/>
        <w:rPr>
          <w:color w:val="000000"/>
          <w:shd w:val="clear" w:color="auto" w:fill="FFFFFF"/>
        </w:rPr>
      </w:pPr>
      <w:r>
        <w:rPr>
          <w:color w:val="000000"/>
          <w:shd w:val="clear" w:color="auto" w:fill="FFFFFF"/>
        </w:rPr>
        <w:t>The three contributors of this paper have appro</w:t>
      </w:r>
      <w:r w:rsidR="00A86B74">
        <w:rPr>
          <w:color w:val="000000"/>
          <w:shd w:val="clear" w:color="auto" w:fill="FFFFFF"/>
        </w:rPr>
        <w:t xml:space="preserve">ved publication. Written approval will be provided </w:t>
      </w:r>
      <w:r w:rsidR="001B30EB">
        <w:rPr>
          <w:color w:val="000000"/>
          <w:shd w:val="clear" w:color="auto" w:fill="FFFFFF"/>
        </w:rPr>
        <w:t>when requested.</w:t>
      </w:r>
    </w:p>
    <w:p w14:paraId="2BDBE6B2" w14:textId="77777777" w:rsidR="00F93FFE" w:rsidRDefault="00F93FFE" w:rsidP="00F93FFE">
      <w:pPr>
        <w:pStyle w:val="ListParagraph"/>
        <w:numPr>
          <w:ilvl w:val="0"/>
          <w:numId w:val="4"/>
        </w:numPr>
        <w:shd w:val="clear" w:color="auto" w:fill="FFFFFF"/>
        <w:spacing w:before="100" w:beforeAutospacing="1" w:after="100" w:afterAutospacing="1" w:line="240" w:lineRule="auto"/>
        <w:rPr>
          <w:rFonts w:ascii="Verdana" w:eastAsia="Times New Roman" w:hAnsi="Verdana" w:cs="Times New Roman"/>
          <w:b/>
          <w:bCs/>
          <w:color w:val="222222"/>
          <w:sz w:val="18"/>
          <w:szCs w:val="18"/>
        </w:rPr>
      </w:pPr>
      <w:r w:rsidRPr="00BF64E6">
        <w:rPr>
          <w:rFonts w:ascii="Verdana" w:eastAsia="Times New Roman" w:hAnsi="Verdana" w:cs="Times New Roman"/>
          <w:b/>
          <w:bCs/>
          <w:color w:val="222222"/>
          <w:sz w:val="18"/>
          <w:szCs w:val="18"/>
        </w:rPr>
        <w:t>Availability of data and materials</w:t>
      </w:r>
    </w:p>
    <w:p w14:paraId="34E1980F" w14:textId="135AC472" w:rsidR="00F93FFE" w:rsidRPr="00696DEF" w:rsidRDefault="00F93FFE" w:rsidP="00696DEF">
      <w:pPr>
        <w:shd w:val="clear" w:color="auto" w:fill="FFFFFF"/>
        <w:spacing w:before="100" w:beforeAutospacing="1" w:after="100" w:afterAutospacing="1" w:line="240" w:lineRule="auto"/>
        <w:rPr>
          <w:color w:val="000000"/>
          <w:shd w:val="clear" w:color="auto" w:fill="FFFFFF"/>
        </w:rPr>
      </w:pPr>
      <w:r w:rsidRPr="00696DEF">
        <w:rPr>
          <w:color w:val="000000"/>
          <w:shd w:val="clear" w:color="auto" w:fill="FFFFFF"/>
        </w:rPr>
        <w:t xml:space="preserve">Data sharing not applicable to this article as no datasets were generated or </w:t>
      </w:r>
      <w:r w:rsidR="004F287E" w:rsidRPr="00696DEF">
        <w:rPr>
          <w:color w:val="000000"/>
          <w:shd w:val="clear" w:color="auto" w:fill="FFFFFF"/>
        </w:rPr>
        <w:t>analyzed</w:t>
      </w:r>
      <w:r w:rsidRPr="00696DEF">
        <w:rPr>
          <w:color w:val="000000"/>
          <w:shd w:val="clear" w:color="auto" w:fill="FFFFFF"/>
        </w:rPr>
        <w:t xml:space="preserve"> during the current study.</w:t>
      </w:r>
    </w:p>
    <w:p w14:paraId="4D9349A5" w14:textId="77777777" w:rsidR="00F93FFE" w:rsidRPr="00BF64E6" w:rsidRDefault="00F93FFE" w:rsidP="00F93FFE">
      <w:pPr>
        <w:numPr>
          <w:ilvl w:val="0"/>
          <w:numId w:val="4"/>
        </w:numPr>
        <w:shd w:val="clear" w:color="auto" w:fill="FFFFFF"/>
        <w:spacing w:before="100" w:beforeAutospacing="1" w:after="100" w:afterAutospacing="1" w:line="240" w:lineRule="auto"/>
        <w:rPr>
          <w:rFonts w:ascii="Verdana" w:eastAsia="Times New Roman" w:hAnsi="Verdana" w:cs="Times New Roman"/>
          <w:b/>
          <w:bCs/>
          <w:color w:val="222222"/>
          <w:sz w:val="18"/>
          <w:szCs w:val="18"/>
        </w:rPr>
      </w:pPr>
      <w:r w:rsidRPr="00BF64E6">
        <w:rPr>
          <w:rFonts w:ascii="Verdana" w:eastAsia="Times New Roman" w:hAnsi="Verdana" w:cs="Times New Roman"/>
          <w:b/>
          <w:bCs/>
          <w:color w:val="222222"/>
          <w:sz w:val="18"/>
          <w:szCs w:val="18"/>
        </w:rPr>
        <w:t>Competing interests</w:t>
      </w:r>
    </w:p>
    <w:p w14:paraId="29AAD121" w14:textId="22E24D3A" w:rsidR="00F93FFE" w:rsidRPr="00696DEF" w:rsidRDefault="006F30BB" w:rsidP="00696DEF">
      <w:pPr>
        <w:shd w:val="clear" w:color="auto" w:fill="FFFFFF"/>
        <w:spacing w:before="100" w:beforeAutospacing="1" w:after="100" w:afterAutospacing="1" w:line="240" w:lineRule="auto"/>
        <w:rPr>
          <w:color w:val="000000"/>
          <w:shd w:val="clear" w:color="auto" w:fill="FFFFFF"/>
        </w:rPr>
      </w:pPr>
      <w:r>
        <w:rPr>
          <w:color w:val="000000"/>
          <w:shd w:val="clear" w:color="auto" w:fill="FFFFFF"/>
        </w:rPr>
        <w:t>The authors declare no conflicts of interest.</w:t>
      </w:r>
    </w:p>
    <w:p w14:paraId="1925AD5E" w14:textId="77777777" w:rsidR="00F93FFE" w:rsidRDefault="00F93FFE" w:rsidP="00F93FFE">
      <w:pPr>
        <w:numPr>
          <w:ilvl w:val="0"/>
          <w:numId w:val="4"/>
        </w:numPr>
        <w:shd w:val="clear" w:color="auto" w:fill="FFFFFF"/>
        <w:spacing w:before="100" w:beforeAutospacing="1" w:after="100" w:afterAutospacing="1" w:line="240" w:lineRule="auto"/>
        <w:rPr>
          <w:rFonts w:ascii="Verdana" w:eastAsia="Times New Roman" w:hAnsi="Verdana" w:cs="Times New Roman"/>
          <w:b/>
          <w:bCs/>
          <w:color w:val="222222"/>
          <w:sz w:val="18"/>
          <w:szCs w:val="18"/>
        </w:rPr>
      </w:pPr>
      <w:r w:rsidRPr="00BF64E6">
        <w:rPr>
          <w:rFonts w:ascii="Verdana" w:eastAsia="Times New Roman" w:hAnsi="Verdana" w:cs="Times New Roman"/>
          <w:b/>
          <w:bCs/>
          <w:color w:val="222222"/>
          <w:sz w:val="18"/>
          <w:szCs w:val="18"/>
        </w:rPr>
        <w:t>Funding</w:t>
      </w:r>
    </w:p>
    <w:p w14:paraId="0FFDE60F" w14:textId="75A11DE5" w:rsidR="00F93FFE" w:rsidRPr="00696DEF" w:rsidRDefault="006F30BB" w:rsidP="00696DEF">
      <w:pPr>
        <w:shd w:val="clear" w:color="auto" w:fill="FFFFFF"/>
        <w:spacing w:before="100" w:beforeAutospacing="1" w:after="100" w:afterAutospacing="1" w:line="240" w:lineRule="auto"/>
        <w:rPr>
          <w:color w:val="000000"/>
          <w:shd w:val="clear" w:color="auto" w:fill="FFFFFF"/>
        </w:rPr>
      </w:pPr>
      <w:r>
        <w:rPr>
          <w:color w:val="000000"/>
          <w:shd w:val="clear" w:color="auto" w:fill="FFFFFF"/>
        </w:rPr>
        <w:t>No funding received for this study.</w:t>
      </w:r>
    </w:p>
    <w:p w14:paraId="1A6F88B8" w14:textId="77777777" w:rsidR="00F93FFE" w:rsidRPr="00BF64E6" w:rsidRDefault="00F93FFE" w:rsidP="00F93FFE">
      <w:pPr>
        <w:numPr>
          <w:ilvl w:val="0"/>
          <w:numId w:val="4"/>
        </w:numPr>
        <w:shd w:val="clear" w:color="auto" w:fill="FFFFFF"/>
        <w:spacing w:before="100" w:beforeAutospacing="1" w:after="100" w:afterAutospacing="1" w:line="240" w:lineRule="auto"/>
        <w:rPr>
          <w:rFonts w:ascii="Verdana" w:eastAsia="Times New Roman" w:hAnsi="Verdana" w:cs="Times New Roman"/>
          <w:b/>
          <w:bCs/>
          <w:color w:val="222222"/>
          <w:sz w:val="18"/>
          <w:szCs w:val="18"/>
        </w:rPr>
      </w:pPr>
      <w:r w:rsidRPr="00BF64E6">
        <w:rPr>
          <w:rFonts w:ascii="Verdana" w:eastAsia="Times New Roman" w:hAnsi="Verdana" w:cs="Times New Roman"/>
          <w:b/>
          <w:bCs/>
          <w:color w:val="222222"/>
          <w:sz w:val="18"/>
          <w:szCs w:val="18"/>
        </w:rPr>
        <w:t>Authors' contributions</w:t>
      </w:r>
    </w:p>
    <w:p w14:paraId="07FDC497" w14:textId="7BE6AD9D" w:rsidR="00F93FFE" w:rsidRPr="00696DEF" w:rsidRDefault="00F93FFE" w:rsidP="00D501AA">
      <w:pPr>
        <w:shd w:val="clear" w:color="auto" w:fill="FFFFFF"/>
        <w:spacing w:before="100" w:beforeAutospacing="1" w:after="100" w:afterAutospacing="1" w:line="240" w:lineRule="auto"/>
        <w:rPr>
          <w:color w:val="000000"/>
          <w:shd w:val="clear" w:color="auto" w:fill="FFFFFF"/>
        </w:rPr>
      </w:pPr>
      <w:r w:rsidRPr="00696DEF">
        <w:rPr>
          <w:color w:val="000000"/>
          <w:shd w:val="clear" w:color="auto" w:fill="FFFFFF"/>
        </w:rPr>
        <w:t>A</w:t>
      </w:r>
      <w:r w:rsidR="00F94240">
        <w:rPr>
          <w:color w:val="000000"/>
          <w:shd w:val="clear" w:color="auto" w:fill="FFFFFF"/>
        </w:rPr>
        <w:t>l</w:t>
      </w:r>
      <w:r w:rsidR="00854FCA">
        <w:rPr>
          <w:color w:val="000000"/>
          <w:shd w:val="clear" w:color="auto" w:fill="FFFFFF"/>
        </w:rPr>
        <w:t xml:space="preserve">I </w:t>
      </w:r>
      <w:r w:rsidRPr="00696DEF">
        <w:rPr>
          <w:color w:val="000000"/>
          <w:shd w:val="clear" w:color="auto" w:fill="FFFFFF"/>
        </w:rPr>
        <w:t xml:space="preserve">conceived the original idea to conduct this study, gathered data, followed-up the patients, wrote the </w:t>
      </w:r>
      <w:r w:rsidR="00343262">
        <w:rPr>
          <w:color w:val="000000"/>
          <w:shd w:val="clear" w:color="auto" w:fill="FFFFFF"/>
        </w:rPr>
        <w:t>first draft of manuscript, and approved the final manuscript</w:t>
      </w:r>
      <w:r w:rsidRPr="00696DEF">
        <w:rPr>
          <w:color w:val="000000"/>
          <w:shd w:val="clear" w:color="auto" w:fill="FFFFFF"/>
        </w:rPr>
        <w:t>. A</w:t>
      </w:r>
      <w:r w:rsidR="00343262">
        <w:rPr>
          <w:color w:val="000000"/>
          <w:shd w:val="clear" w:color="auto" w:fill="FFFFFF"/>
        </w:rPr>
        <w:t>n</w:t>
      </w:r>
      <w:r w:rsidRPr="00696DEF">
        <w:rPr>
          <w:color w:val="000000"/>
          <w:shd w:val="clear" w:color="auto" w:fill="FFFFFF"/>
        </w:rPr>
        <w:t xml:space="preserve">I participated in </w:t>
      </w:r>
      <w:r w:rsidR="00D117F4">
        <w:rPr>
          <w:color w:val="000000"/>
          <w:shd w:val="clear" w:color="auto" w:fill="FFFFFF"/>
        </w:rPr>
        <w:t xml:space="preserve">analyzing the data, </w:t>
      </w:r>
      <w:r w:rsidRPr="00696DEF">
        <w:rPr>
          <w:color w:val="000000"/>
          <w:shd w:val="clear" w:color="auto" w:fill="FFFFFF"/>
        </w:rPr>
        <w:t>writing and editing the</w:t>
      </w:r>
      <w:r w:rsidR="00D117F4">
        <w:rPr>
          <w:color w:val="000000"/>
          <w:shd w:val="clear" w:color="auto" w:fill="FFFFFF"/>
        </w:rPr>
        <w:t xml:space="preserve"> manuscript, and approved the final manuscript.</w:t>
      </w:r>
      <w:r w:rsidRPr="00696DEF">
        <w:rPr>
          <w:color w:val="000000"/>
          <w:shd w:val="clear" w:color="auto" w:fill="FFFFFF"/>
        </w:rPr>
        <w:t xml:space="preserve"> MJ </w:t>
      </w:r>
      <w:r w:rsidR="006F30BB">
        <w:rPr>
          <w:color w:val="000000"/>
          <w:shd w:val="clear" w:color="auto" w:fill="FFFFFF"/>
        </w:rPr>
        <w:t>gathered data from patients, treated and f</w:t>
      </w:r>
      <w:r w:rsidR="00D501AA">
        <w:rPr>
          <w:color w:val="000000"/>
          <w:shd w:val="clear" w:color="auto" w:fill="FFFFFF"/>
        </w:rPr>
        <w:t>ollow-up patien</w:t>
      </w:r>
      <w:r w:rsidR="00FD73E9">
        <w:rPr>
          <w:color w:val="000000"/>
          <w:shd w:val="clear" w:color="auto" w:fill="FFFFFF"/>
        </w:rPr>
        <w:t>ts</w:t>
      </w:r>
      <w:r w:rsidR="00D501AA">
        <w:rPr>
          <w:color w:val="000000"/>
          <w:shd w:val="clear" w:color="auto" w:fill="FFFFFF"/>
        </w:rPr>
        <w:t xml:space="preserve">, and </w:t>
      </w:r>
      <w:r w:rsidR="006F30BB">
        <w:rPr>
          <w:color w:val="000000"/>
          <w:shd w:val="clear" w:color="auto" w:fill="FFFFFF"/>
        </w:rPr>
        <w:t>approved the final manuscript.</w:t>
      </w:r>
    </w:p>
    <w:p w14:paraId="2D6B7D51" w14:textId="77777777" w:rsidR="00F93FFE" w:rsidRDefault="00F93FFE" w:rsidP="00F93FFE">
      <w:pPr>
        <w:pStyle w:val="ListParagraph"/>
        <w:numPr>
          <w:ilvl w:val="0"/>
          <w:numId w:val="4"/>
        </w:numPr>
        <w:shd w:val="clear" w:color="auto" w:fill="FFFFFF"/>
        <w:spacing w:before="100" w:beforeAutospacing="1" w:after="100" w:afterAutospacing="1" w:line="240" w:lineRule="auto"/>
        <w:rPr>
          <w:rFonts w:ascii="Verdana" w:eastAsia="Times New Roman" w:hAnsi="Verdana" w:cs="Times New Roman"/>
          <w:b/>
          <w:bCs/>
          <w:color w:val="222222"/>
          <w:sz w:val="18"/>
          <w:szCs w:val="18"/>
        </w:rPr>
      </w:pPr>
      <w:r w:rsidRPr="00E32BD8">
        <w:rPr>
          <w:rFonts w:ascii="Verdana" w:eastAsia="Times New Roman" w:hAnsi="Verdana" w:cs="Times New Roman"/>
          <w:b/>
          <w:bCs/>
          <w:color w:val="222222"/>
          <w:sz w:val="18"/>
          <w:szCs w:val="18"/>
        </w:rPr>
        <w:t>Acknowledgements</w:t>
      </w:r>
    </w:p>
    <w:p w14:paraId="0FB36991" w14:textId="377308BD" w:rsidR="00F93FFE" w:rsidRPr="00696DEF" w:rsidRDefault="001E45D2" w:rsidP="00F93FFE">
      <w:pPr>
        <w:shd w:val="clear" w:color="auto" w:fill="FFFFFF"/>
        <w:spacing w:before="100" w:beforeAutospacing="1" w:after="100" w:afterAutospacing="1" w:line="240" w:lineRule="auto"/>
        <w:rPr>
          <w:color w:val="000000"/>
          <w:shd w:val="clear" w:color="auto" w:fill="FFFFFF"/>
        </w:rPr>
      </w:pPr>
      <w:r>
        <w:rPr>
          <w:color w:val="000000"/>
          <w:shd w:val="clear" w:color="auto" w:fill="FFFFFF"/>
        </w:rPr>
        <w:t>The authors wish to acknowledge the patients and their families to accepting to being enrolled in this study. We also wish to acknowledge the nurses and lab technicians at Hala Center for their work and help in obtaining and organizing the data of the patients.</w:t>
      </w:r>
    </w:p>
    <w:p w14:paraId="64627974" w14:textId="77777777" w:rsidR="006529B7" w:rsidRDefault="006529B7" w:rsidP="006529B7">
      <w:pPr>
        <w:spacing w:line="240" w:lineRule="auto"/>
        <w:rPr>
          <w:b/>
          <w:bCs/>
          <w:color w:val="000000"/>
          <w:shd w:val="clear" w:color="auto" w:fill="FFFFFF"/>
        </w:rPr>
      </w:pPr>
    </w:p>
    <w:p w14:paraId="563B9B12" w14:textId="77777777" w:rsidR="00C24B09" w:rsidRDefault="00C24B09" w:rsidP="006529B7">
      <w:pPr>
        <w:spacing w:line="240" w:lineRule="auto"/>
        <w:rPr>
          <w:b/>
          <w:bCs/>
          <w:color w:val="000000"/>
          <w:shd w:val="clear" w:color="auto" w:fill="FFFFFF"/>
        </w:rPr>
      </w:pPr>
    </w:p>
    <w:p w14:paraId="47B8D96E" w14:textId="77777777" w:rsidR="00C24B09" w:rsidRDefault="00C24B09" w:rsidP="006529B7">
      <w:pPr>
        <w:spacing w:line="240" w:lineRule="auto"/>
        <w:rPr>
          <w:b/>
          <w:bCs/>
          <w:color w:val="000000"/>
          <w:shd w:val="clear" w:color="auto" w:fill="FFFFFF"/>
        </w:rPr>
      </w:pPr>
    </w:p>
    <w:p w14:paraId="197A2D46" w14:textId="77777777" w:rsidR="00C24B09" w:rsidRDefault="00C24B09" w:rsidP="006529B7">
      <w:pPr>
        <w:spacing w:line="240" w:lineRule="auto"/>
        <w:rPr>
          <w:b/>
          <w:bCs/>
          <w:color w:val="000000"/>
          <w:shd w:val="clear" w:color="auto" w:fill="FFFFFF"/>
        </w:rPr>
      </w:pPr>
    </w:p>
    <w:p w14:paraId="1710C377" w14:textId="77777777" w:rsidR="0092530A" w:rsidRDefault="0092530A" w:rsidP="0092530A">
      <w:pPr>
        <w:spacing w:line="240" w:lineRule="auto"/>
        <w:rPr>
          <w:b/>
          <w:bCs/>
          <w:lang w:bidi="ar-JO"/>
        </w:rPr>
      </w:pPr>
    </w:p>
    <w:p w14:paraId="71453535" w14:textId="77777777" w:rsidR="00B67DDD" w:rsidRPr="00127900" w:rsidRDefault="00B67DDD" w:rsidP="00B67DDD">
      <w:pPr>
        <w:spacing w:line="240" w:lineRule="auto"/>
        <w:ind w:left="-900"/>
        <w:rPr>
          <w:color w:val="000000"/>
          <w:sz w:val="20"/>
          <w:szCs w:val="20"/>
          <w:shd w:val="clear" w:color="auto" w:fill="FFFFFF"/>
        </w:rPr>
      </w:pPr>
      <w:r w:rsidRPr="00127900">
        <w:rPr>
          <w:color w:val="000000"/>
          <w:sz w:val="20"/>
          <w:szCs w:val="20"/>
          <w:shd w:val="clear" w:color="auto" w:fill="FFFFFF"/>
        </w:rPr>
        <w:t>Table 1, Age, BMI, Parity, Miscarriages, Last Menstrual Period (LMP), Expected date of Deliver (EDD) and antenatal complications</w:t>
      </w:r>
    </w:p>
    <w:p w14:paraId="07172A11" w14:textId="77777777" w:rsidR="00B67DDD" w:rsidRDefault="00B67DDD" w:rsidP="00B67DDD">
      <w:pPr>
        <w:spacing w:line="240" w:lineRule="auto"/>
        <w:rPr>
          <w:b/>
          <w:bCs/>
          <w:color w:val="000000"/>
          <w:u w:val="single"/>
          <w:shd w:val="clear" w:color="auto" w:fill="FFFFFF"/>
        </w:rPr>
      </w:pPr>
    </w:p>
    <w:tbl>
      <w:tblPr>
        <w:tblStyle w:val="TableGrid"/>
        <w:tblpPr w:leftFromText="180" w:rightFromText="180" w:vertAnchor="text" w:horzAnchor="margin" w:tblpXSpec="center" w:tblpY="-434"/>
        <w:tblW w:w="11358" w:type="dxa"/>
        <w:tblLook w:val="04A0" w:firstRow="1" w:lastRow="0" w:firstColumn="1" w:lastColumn="0" w:noHBand="0" w:noVBand="1"/>
      </w:tblPr>
      <w:tblGrid>
        <w:gridCol w:w="891"/>
        <w:gridCol w:w="627"/>
        <w:gridCol w:w="715"/>
        <w:gridCol w:w="1296"/>
        <w:gridCol w:w="1398"/>
        <w:gridCol w:w="2041"/>
        <w:gridCol w:w="1432"/>
        <w:gridCol w:w="1287"/>
        <w:gridCol w:w="1671"/>
      </w:tblGrid>
      <w:tr w:rsidR="00B67DDD" w14:paraId="5FE8E79C" w14:textId="77777777" w:rsidTr="004876DF">
        <w:trPr>
          <w:trHeight w:val="617"/>
        </w:trPr>
        <w:tc>
          <w:tcPr>
            <w:tcW w:w="891" w:type="dxa"/>
            <w:shd w:val="clear" w:color="auto" w:fill="D9D9D9" w:themeFill="background1" w:themeFillShade="D9"/>
          </w:tcPr>
          <w:p w14:paraId="1EB592BD" w14:textId="77777777" w:rsidR="00B67DDD" w:rsidRDefault="00B67DDD" w:rsidP="004876DF">
            <w:pPr>
              <w:rPr>
                <w:b/>
                <w:bCs/>
              </w:rPr>
            </w:pPr>
          </w:p>
        </w:tc>
        <w:tc>
          <w:tcPr>
            <w:tcW w:w="627" w:type="dxa"/>
            <w:shd w:val="clear" w:color="auto" w:fill="D9D9D9" w:themeFill="background1" w:themeFillShade="D9"/>
          </w:tcPr>
          <w:p w14:paraId="36CB17DB" w14:textId="77777777" w:rsidR="00B67DDD" w:rsidRDefault="00B67DDD" w:rsidP="004876DF">
            <w:pPr>
              <w:rPr>
                <w:b/>
                <w:bCs/>
              </w:rPr>
            </w:pPr>
            <w:r>
              <w:rPr>
                <w:b/>
                <w:bCs/>
              </w:rPr>
              <w:t>Age</w:t>
            </w:r>
          </w:p>
        </w:tc>
        <w:tc>
          <w:tcPr>
            <w:tcW w:w="715" w:type="dxa"/>
            <w:shd w:val="clear" w:color="auto" w:fill="D9D9D9" w:themeFill="background1" w:themeFillShade="D9"/>
          </w:tcPr>
          <w:p w14:paraId="285EF311" w14:textId="77777777" w:rsidR="00B67DDD" w:rsidRDefault="00B67DDD" w:rsidP="004876DF">
            <w:pPr>
              <w:rPr>
                <w:b/>
                <w:bCs/>
              </w:rPr>
            </w:pPr>
            <w:r>
              <w:rPr>
                <w:b/>
                <w:bCs/>
              </w:rPr>
              <w:t>BMI</w:t>
            </w:r>
          </w:p>
        </w:tc>
        <w:tc>
          <w:tcPr>
            <w:tcW w:w="1296" w:type="dxa"/>
            <w:shd w:val="clear" w:color="auto" w:fill="D9D9D9" w:themeFill="background1" w:themeFillShade="D9"/>
          </w:tcPr>
          <w:p w14:paraId="5D9FAA17" w14:textId="77777777" w:rsidR="00B67DDD" w:rsidRDefault="00B67DDD" w:rsidP="004876DF">
            <w:pPr>
              <w:rPr>
                <w:b/>
                <w:bCs/>
              </w:rPr>
            </w:pPr>
            <w:r>
              <w:rPr>
                <w:b/>
                <w:bCs/>
              </w:rPr>
              <w:t>Education</w:t>
            </w:r>
          </w:p>
        </w:tc>
        <w:tc>
          <w:tcPr>
            <w:tcW w:w="1398" w:type="dxa"/>
            <w:shd w:val="clear" w:color="auto" w:fill="D9D9D9" w:themeFill="background1" w:themeFillShade="D9"/>
          </w:tcPr>
          <w:p w14:paraId="514D292B" w14:textId="77777777" w:rsidR="00B67DDD" w:rsidRDefault="00B67DDD" w:rsidP="004876DF">
            <w:pPr>
              <w:rPr>
                <w:b/>
                <w:bCs/>
              </w:rPr>
            </w:pPr>
            <w:r>
              <w:rPr>
                <w:b/>
                <w:bCs/>
              </w:rPr>
              <w:t>Parity</w:t>
            </w:r>
          </w:p>
        </w:tc>
        <w:tc>
          <w:tcPr>
            <w:tcW w:w="2041" w:type="dxa"/>
            <w:shd w:val="clear" w:color="auto" w:fill="D9D9D9" w:themeFill="background1" w:themeFillShade="D9"/>
          </w:tcPr>
          <w:p w14:paraId="18313748" w14:textId="77777777" w:rsidR="00B67DDD" w:rsidRDefault="00B67DDD" w:rsidP="004876DF">
            <w:pPr>
              <w:rPr>
                <w:b/>
                <w:bCs/>
              </w:rPr>
            </w:pPr>
            <w:r>
              <w:rPr>
                <w:b/>
                <w:bCs/>
              </w:rPr>
              <w:t>Miscarriages</w:t>
            </w:r>
          </w:p>
        </w:tc>
        <w:tc>
          <w:tcPr>
            <w:tcW w:w="1432" w:type="dxa"/>
            <w:shd w:val="clear" w:color="auto" w:fill="D9D9D9" w:themeFill="background1" w:themeFillShade="D9"/>
          </w:tcPr>
          <w:p w14:paraId="332284C5" w14:textId="77777777" w:rsidR="00B67DDD" w:rsidRDefault="00B67DDD" w:rsidP="004876DF">
            <w:pPr>
              <w:rPr>
                <w:b/>
                <w:bCs/>
              </w:rPr>
            </w:pPr>
            <w:r>
              <w:rPr>
                <w:b/>
                <w:bCs/>
              </w:rPr>
              <w:t>LMP</w:t>
            </w:r>
          </w:p>
        </w:tc>
        <w:tc>
          <w:tcPr>
            <w:tcW w:w="0" w:type="auto"/>
            <w:shd w:val="clear" w:color="auto" w:fill="D9D9D9" w:themeFill="background1" w:themeFillShade="D9"/>
          </w:tcPr>
          <w:p w14:paraId="4E4C5B92" w14:textId="77777777" w:rsidR="00B67DDD" w:rsidRDefault="00B67DDD" w:rsidP="004876DF">
            <w:pPr>
              <w:jc w:val="center"/>
              <w:rPr>
                <w:b/>
                <w:bCs/>
              </w:rPr>
            </w:pPr>
            <w:r>
              <w:rPr>
                <w:b/>
                <w:bCs/>
              </w:rPr>
              <w:t>EDD</w:t>
            </w:r>
          </w:p>
        </w:tc>
        <w:tc>
          <w:tcPr>
            <w:tcW w:w="1671" w:type="dxa"/>
            <w:shd w:val="clear" w:color="auto" w:fill="D9D9D9" w:themeFill="background1" w:themeFillShade="D9"/>
          </w:tcPr>
          <w:p w14:paraId="6261E05B" w14:textId="77777777" w:rsidR="00B67DDD" w:rsidRDefault="00B67DDD" w:rsidP="004876DF">
            <w:pPr>
              <w:rPr>
                <w:b/>
                <w:bCs/>
              </w:rPr>
            </w:pPr>
            <w:r>
              <w:rPr>
                <w:b/>
                <w:bCs/>
              </w:rPr>
              <w:t>Antenatal Complications</w:t>
            </w:r>
          </w:p>
        </w:tc>
      </w:tr>
      <w:tr w:rsidR="00B67DDD" w14:paraId="34CF1EBC" w14:textId="77777777" w:rsidTr="004876DF">
        <w:trPr>
          <w:trHeight w:val="710"/>
        </w:trPr>
        <w:tc>
          <w:tcPr>
            <w:tcW w:w="891" w:type="dxa"/>
          </w:tcPr>
          <w:p w14:paraId="050A42BD" w14:textId="77777777" w:rsidR="00B67DDD" w:rsidRDefault="00B67DDD" w:rsidP="004876DF">
            <w:pPr>
              <w:rPr>
                <w:b/>
                <w:bCs/>
              </w:rPr>
            </w:pPr>
            <w:r>
              <w:rPr>
                <w:b/>
                <w:bCs/>
              </w:rPr>
              <w:t>Case 1</w:t>
            </w:r>
          </w:p>
        </w:tc>
        <w:tc>
          <w:tcPr>
            <w:tcW w:w="627" w:type="dxa"/>
          </w:tcPr>
          <w:p w14:paraId="75AEF1D2" w14:textId="77777777" w:rsidR="00B67DDD" w:rsidRDefault="00B67DDD" w:rsidP="004876DF">
            <w:pPr>
              <w:rPr>
                <w:b/>
                <w:bCs/>
              </w:rPr>
            </w:pPr>
            <w:r>
              <w:rPr>
                <w:b/>
                <w:bCs/>
              </w:rPr>
              <w:t>30</w:t>
            </w:r>
          </w:p>
        </w:tc>
        <w:tc>
          <w:tcPr>
            <w:tcW w:w="715" w:type="dxa"/>
          </w:tcPr>
          <w:p w14:paraId="53800916" w14:textId="77777777" w:rsidR="00B67DDD" w:rsidRDefault="00B67DDD" w:rsidP="004876DF">
            <w:pPr>
              <w:rPr>
                <w:b/>
                <w:bCs/>
              </w:rPr>
            </w:pPr>
            <w:r>
              <w:rPr>
                <w:b/>
                <w:bCs/>
              </w:rPr>
              <w:t>21</w:t>
            </w:r>
          </w:p>
        </w:tc>
        <w:tc>
          <w:tcPr>
            <w:tcW w:w="1296" w:type="dxa"/>
          </w:tcPr>
          <w:p w14:paraId="71E97E4F" w14:textId="77777777" w:rsidR="00B67DDD" w:rsidRDefault="00B67DDD" w:rsidP="004876DF">
            <w:pPr>
              <w:rPr>
                <w:b/>
                <w:bCs/>
              </w:rPr>
            </w:pPr>
            <w:r>
              <w:rPr>
                <w:b/>
                <w:bCs/>
              </w:rPr>
              <w:t>Secondary Education</w:t>
            </w:r>
          </w:p>
        </w:tc>
        <w:tc>
          <w:tcPr>
            <w:tcW w:w="1398" w:type="dxa"/>
          </w:tcPr>
          <w:p w14:paraId="259F9D6E" w14:textId="77777777" w:rsidR="00B67DDD" w:rsidRDefault="00B67DDD" w:rsidP="004876DF">
            <w:pPr>
              <w:rPr>
                <w:b/>
                <w:bCs/>
              </w:rPr>
            </w:pPr>
            <w:r>
              <w:rPr>
                <w:b/>
                <w:bCs/>
              </w:rPr>
              <w:t>G10P4</w:t>
            </w:r>
            <w:r w:rsidRPr="00D73CD3">
              <w:rPr>
                <w:b/>
                <w:bCs/>
                <w:vertAlign w:val="superscript"/>
              </w:rPr>
              <w:t>+5</w:t>
            </w:r>
          </w:p>
        </w:tc>
        <w:tc>
          <w:tcPr>
            <w:tcW w:w="2041" w:type="dxa"/>
          </w:tcPr>
          <w:p w14:paraId="77673AD5" w14:textId="77777777" w:rsidR="00B67DDD" w:rsidRDefault="00B67DDD" w:rsidP="004876DF">
            <w:pPr>
              <w:rPr>
                <w:b/>
                <w:bCs/>
              </w:rPr>
            </w:pPr>
            <w:r>
              <w:rPr>
                <w:b/>
                <w:bCs/>
              </w:rPr>
              <w:t>1; IUFD</w:t>
            </w:r>
          </w:p>
          <w:p w14:paraId="4E48EE38" w14:textId="77777777" w:rsidR="00B67DDD" w:rsidRDefault="00B67DDD" w:rsidP="004876DF">
            <w:pPr>
              <w:rPr>
                <w:b/>
                <w:bCs/>
              </w:rPr>
            </w:pPr>
            <w:r>
              <w:rPr>
                <w:b/>
                <w:bCs/>
              </w:rPr>
              <w:t>5; unexplained</w:t>
            </w:r>
          </w:p>
          <w:p w14:paraId="5EE7C976" w14:textId="77777777" w:rsidR="00B67DDD" w:rsidRDefault="00B67DDD" w:rsidP="004876DF">
            <w:pPr>
              <w:rPr>
                <w:b/>
                <w:bCs/>
              </w:rPr>
            </w:pPr>
          </w:p>
        </w:tc>
        <w:tc>
          <w:tcPr>
            <w:tcW w:w="1432" w:type="dxa"/>
          </w:tcPr>
          <w:p w14:paraId="7D289C04" w14:textId="77777777" w:rsidR="00B67DDD" w:rsidRDefault="00B67DDD" w:rsidP="004876DF">
            <w:pPr>
              <w:rPr>
                <w:b/>
                <w:bCs/>
              </w:rPr>
            </w:pPr>
            <w:r>
              <w:rPr>
                <w:b/>
                <w:bCs/>
              </w:rPr>
              <w:t>04.12.2019</w:t>
            </w:r>
          </w:p>
        </w:tc>
        <w:tc>
          <w:tcPr>
            <w:tcW w:w="0" w:type="auto"/>
          </w:tcPr>
          <w:p w14:paraId="19F631BA" w14:textId="77777777" w:rsidR="00B67DDD" w:rsidRDefault="00B67DDD" w:rsidP="004876DF">
            <w:pPr>
              <w:rPr>
                <w:b/>
                <w:bCs/>
              </w:rPr>
            </w:pPr>
            <w:r>
              <w:rPr>
                <w:b/>
                <w:bCs/>
              </w:rPr>
              <w:t xml:space="preserve">12.09.2020 </w:t>
            </w:r>
          </w:p>
        </w:tc>
        <w:tc>
          <w:tcPr>
            <w:tcW w:w="1671" w:type="dxa"/>
          </w:tcPr>
          <w:p w14:paraId="14DE722F" w14:textId="77777777" w:rsidR="00B67DDD" w:rsidRDefault="00B67DDD" w:rsidP="004876DF">
            <w:pPr>
              <w:jc w:val="center"/>
              <w:rPr>
                <w:b/>
                <w:bCs/>
              </w:rPr>
            </w:pPr>
            <w:r>
              <w:rPr>
                <w:b/>
                <w:bCs/>
              </w:rPr>
              <w:t>None</w:t>
            </w:r>
          </w:p>
        </w:tc>
      </w:tr>
      <w:tr w:rsidR="00B67DDD" w14:paraId="788A37DC" w14:textId="77777777" w:rsidTr="004876DF">
        <w:trPr>
          <w:trHeight w:val="620"/>
        </w:trPr>
        <w:tc>
          <w:tcPr>
            <w:tcW w:w="891" w:type="dxa"/>
            <w:shd w:val="clear" w:color="auto" w:fill="D9D9D9" w:themeFill="background1" w:themeFillShade="D9"/>
          </w:tcPr>
          <w:p w14:paraId="08DAEBD7" w14:textId="77777777" w:rsidR="00B67DDD" w:rsidRDefault="00B67DDD" w:rsidP="004876DF">
            <w:pPr>
              <w:rPr>
                <w:b/>
                <w:bCs/>
              </w:rPr>
            </w:pPr>
            <w:r>
              <w:rPr>
                <w:b/>
                <w:bCs/>
              </w:rPr>
              <w:t>Case 2</w:t>
            </w:r>
          </w:p>
        </w:tc>
        <w:tc>
          <w:tcPr>
            <w:tcW w:w="627" w:type="dxa"/>
            <w:shd w:val="clear" w:color="auto" w:fill="D9D9D9" w:themeFill="background1" w:themeFillShade="D9"/>
          </w:tcPr>
          <w:p w14:paraId="51964CE7" w14:textId="77777777" w:rsidR="00B67DDD" w:rsidRDefault="00B67DDD" w:rsidP="004876DF">
            <w:pPr>
              <w:rPr>
                <w:b/>
                <w:bCs/>
              </w:rPr>
            </w:pPr>
            <w:r>
              <w:rPr>
                <w:b/>
                <w:bCs/>
              </w:rPr>
              <w:t>26</w:t>
            </w:r>
          </w:p>
        </w:tc>
        <w:tc>
          <w:tcPr>
            <w:tcW w:w="715" w:type="dxa"/>
            <w:shd w:val="clear" w:color="auto" w:fill="D9D9D9" w:themeFill="background1" w:themeFillShade="D9"/>
          </w:tcPr>
          <w:p w14:paraId="0E1123CC" w14:textId="77777777" w:rsidR="00B67DDD" w:rsidRDefault="00B67DDD" w:rsidP="004876DF">
            <w:pPr>
              <w:rPr>
                <w:b/>
                <w:bCs/>
              </w:rPr>
            </w:pPr>
            <w:r>
              <w:rPr>
                <w:b/>
                <w:bCs/>
              </w:rPr>
              <w:t>23</w:t>
            </w:r>
          </w:p>
        </w:tc>
        <w:tc>
          <w:tcPr>
            <w:tcW w:w="1296" w:type="dxa"/>
            <w:shd w:val="clear" w:color="auto" w:fill="D9D9D9" w:themeFill="background1" w:themeFillShade="D9"/>
          </w:tcPr>
          <w:p w14:paraId="4296EF79" w14:textId="77777777" w:rsidR="00B67DDD" w:rsidRDefault="00B67DDD" w:rsidP="004876DF">
            <w:pPr>
              <w:rPr>
                <w:b/>
                <w:bCs/>
              </w:rPr>
            </w:pPr>
            <w:r>
              <w:rPr>
                <w:b/>
                <w:bCs/>
              </w:rPr>
              <w:t>Bachelor degree</w:t>
            </w:r>
          </w:p>
        </w:tc>
        <w:tc>
          <w:tcPr>
            <w:tcW w:w="1398" w:type="dxa"/>
            <w:shd w:val="clear" w:color="auto" w:fill="D9D9D9" w:themeFill="background1" w:themeFillShade="D9"/>
          </w:tcPr>
          <w:p w14:paraId="336DCECC" w14:textId="77777777" w:rsidR="00B67DDD" w:rsidRDefault="00B67DDD" w:rsidP="004876DF">
            <w:pPr>
              <w:rPr>
                <w:b/>
                <w:bCs/>
              </w:rPr>
            </w:pPr>
            <w:r>
              <w:rPr>
                <w:b/>
                <w:bCs/>
              </w:rPr>
              <w:t>G4P1</w:t>
            </w:r>
            <w:r>
              <w:rPr>
                <w:b/>
                <w:bCs/>
                <w:vertAlign w:val="superscript"/>
              </w:rPr>
              <w:t>+2</w:t>
            </w:r>
          </w:p>
        </w:tc>
        <w:tc>
          <w:tcPr>
            <w:tcW w:w="2041" w:type="dxa"/>
            <w:shd w:val="clear" w:color="auto" w:fill="D9D9D9" w:themeFill="background1" w:themeFillShade="D9"/>
          </w:tcPr>
          <w:p w14:paraId="16A339C9" w14:textId="77777777" w:rsidR="00B67DDD" w:rsidRDefault="00B67DDD" w:rsidP="004876DF">
            <w:pPr>
              <w:rPr>
                <w:b/>
                <w:bCs/>
              </w:rPr>
            </w:pPr>
            <w:r>
              <w:rPr>
                <w:b/>
                <w:bCs/>
              </w:rPr>
              <w:t>2; unexplained</w:t>
            </w:r>
          </w:p>
        </w:tc>
        <w:tc>
          <w:tcPr>
            <w:tcW w:w="1432" w:type="dxa"/>
            <w:shd w:val="clear" w:color="auto" w:fill="D9D9D9" w:themeFill="background1" w:themeFillShade="D9"/>
          </w:tcPr>
          <w:p w14:paraId="0EEC870D" w14:textId="77777777" w:rsidR="00B67DDD" w:rsidRDefault="00B67DDD" w:rsidP="004876DF">
            <w:pPr>
              <w:rPr>
                <w:b/>
                <w:bCs/>
              </w:rPr>
            </w:pPr>
            <w:r>
              <w:rPr>
                <w:b/>
                <w:bCs/>
              </w:rPr>
              <w:t>27.10.2019</w:t>
            </w:r>
          </w:p>
        </w:tc>
        <w:tc>
          <w:tcPr>
            <w:tcW w:w="0" w:type="auto"/>
            <w:shd w:val="clear" w:color="auto" w:fill="D9D9D9" w:themeFill="background1" w:themeFillShade="D9"/>
          </w:tcPr>
          <w:p w14:paraId="2305A596" w14:textId="77777777" w:rsidR="00B67DDD" w:rsidRDefault="00B67DDD" w:rsidP="004876DF">
            <w:pPr>
              <w:rPr>
                <w:b/>
                <w:bCs/>
              </w:rPr>
            </w:pPr>
            <w:r>
              <w:rPr>
                <w:b/>
                <w:bCs/>
              </w:rPr>
              <w:t>04.08.2020</w:t>
            </w:r>
          </w:p>
        </w:tc>
        <w:tc>
          <w:tcPr>
            <w:tcW w:w="1671" w:type="dxa"/>
            <w:shd w:val="clear" w:color="auto" w:fill="D9D9D9" w:themeFill="background1" w:themeFillShade="D9"/>
          </w:tcPr>
          <w:p w14:paraId="2AAE373F" w14:textId="77777777" w:rsidR="00B67DDD" w:rsidRDefault="00B67DDD" w:rsidP="004876DF">
            <w:pPr>
              <w:jc w:val="center"/>
              <w:rPr>
                <w:b/>
                <w:bCs/>
              </w:rPr>
            </w:pPr>
            <w:r>
              <w:rPr>
                <w:b/>
                <w:bCs/>
              </w:rPr>
              <w:t>None</w:t>
            </w:r>
          </w:p>
        </w:tc>
      </w:tr>
      <w:tr w:rsidR="00B67DDD" w14:paraId="2E3B05CA" w14:textId="77777777" w:rsidTr="004876DF">
        <w:trPr>
          <w:trHeight w:val="1070"/>
        </w:trPr>
        <w:tc>
          <w:tcPr>
            <w:tcW w:w="891" w:type="dxa"/>
          </w:tcPr>
          <w:p w14:paraId="698DFA2A" w14:textId="77777777" w:rsidR="00B67DDD" w:rsidRDefault="00B67DDD" w:rsidP="004876DF">
            <w:pPr>
              <w:rPr>
                <w:b/>
                <w:bCs/>
              </w:rPr>
            </w:pPr>
            <w:r>
              <w:rPr>
                <w:b/>
                <w:bCs/>
              </w:rPr>
              <w:t>Case 3</w:t>
            </w:r>
          </w:p>
        </w:tc>
        <w:tc>
          <w:tcPr>
            <w:tcW w:w="627" w:type="dxa"/>
          </w:tcPr>
          <w:p w14:paraId="06C31838" w14:textId="77777777" w:rsidR="00B67DDD" w:rsidRDefault="00B67DDD" w:rsidP="004876DF">
            <w:pPr>
              <w:rPr>
                <w:b/>
                <w:bCs/>
              </w:rPr>
            </w:pPr>
            <w:r>
              <w:rPr>
                <w:b/>
                <w:bCs/>
              </w:rPr>
              <w:t>20</w:t>
            </w:r>
          </w:p>
        </w:tc>
        <w:tc>
          <w:tcPr>
            <w:tcW w:w="715" w:type="dxa"/>
          </w:tcPr>
          <w:p w14:paraId="0584D299" w14:textId="77777777" w:rsidR="00B67DDD" w:rsidRDefault="00B67DDD" w:rsidP="004876DF">
            <w:pPr>
              <w:rPr>
                <w:b/>
                <w:bCs/>
              </w:rPr>
            </w:pPr>
            <w:r>
              <w:rPr>
                <w:b/>
                <w:bCs/>
              </w:rPr>
              <w:t>21.5</w:t>
            </w:r>
          </w:p>
        </w:tc>
        <w:tc>
          <w:tcPr>
            <w:tcW w:w="1296" w:type="dxa"/>
          </w:tcPr>
          <w:p w14:paraId="538FD82D" w14:textId="77777777" w:rsidR="00B67DDD" w:rsidRDefault="00B67DDD" w:rsidP="004876DF">
            <w:pPr>
              <w:rPr>
                <w:b/>
                <w:bCs/>
              </w:rPr>
            </w:pPr>
            <w:r>
              <w:rPr>
                <w:b/>
                <w:bCs/>
              </w:rPr>
              <w:t>College student</w:t>
            </w:r>
          </w:p>
        </w:tc>
        <w:tc>
          <w:tcPr>
            <w:tcW w:w="1398" w:type="dxa"/>
          </w:tcPr>
          <w:p w14:paraId="506510B6" w14:textId="77777777" w:rsidR="00B67DDD" w:rsidRDefault="00B67DDD" w:rsidP="004876DF">
            <w:pPr>
              <w:rPr>
                <w:b/>
                <w:bCs/>
              </w:rPr>
            </w:pPr>
            <w:r>
              <w:rPr>
                <w:b/>
                <w:bCs/>
              </w:rPr>
              <w:t>G4P0</w:t>
            </w:r>
            <w:r w:rsidRPr="00B33398">
              <w:rPr>
                <w:b/>
                <w:bCs/>
                <w:vertAlign w:val="superscript"/>
              </w:rPr>
              <w:t>+3</w:t>
            </w:r>
          </w:p>
        </w:tc>
        <w:tc>
          <w:tcPr>
            <w:tcW w:w="2041" w:type="dxa"/>
          </w:tcPr>
          <w:p w14:paraId="503EF234" w14:textId="77777777" w:rsidR="00B67DDD" w:rsidRDefault="00B67DDD" w:rsidP="004876DF">
            <w:pPr>
              <w:rPr>
                <w:b/>
                <w:bCs/>
              </w:rPr>
            </w:pPr>
            <w:r>
              <w:rPr>
                <w:b/>
                <w:bCs/>
              </w:rPr>
              <w:t>3; unexplained</w:t>
            </w:r>
          </w:p>
        </w:tc>
        <w:tc>
          <w:tcPr>
            <w:tcW w:w="1432" w:type="dxa"/>
          </w:tcPr>
          <w:p w14:paraId="19DE97CC" w14:textId="77777777" w:rsidR="00B67DDD" w:rsidRDefault="00B67DDD" w:rsidP="004876DF">
            <w:pPr>
              <w:rPr>
                <w:b/>
                <w:bCs/>
              </w:rPr>
            </w:pPr>
            <w:r>
              <w:rPr>
                <w:b/>
                <w:bCs/>
              </w:rPr>
              <w:t>23.08.2019</w:t>
            </w:r>
          </w:p>
        </w:tc>
        <w:tc>
          <w:tcPr>
            <w:tcW w:w="0" w:type="auto"/>
          </w:tcPr>
          <w:p w14:paraId="0B723DF6" w14:textId="77777777" w:rsidR="00B67DDD" w:rsidRDefault="00B67DDD" w:rsidP="004876DF">
            <w:pPr>
              <w:rPr>
                <w:b/>
                <w:bCs/>
              </w:rPr>
            </w:pPr>
            <w:r>
              <w:rPr>
                <w:b/>
                <w:bCs/>
              </w:rPr>
              <w:t>30.05.2020</w:t>
            </w:r>
          </w:p>
        </w:tc>
        <w:tc>
          <w:tcPr>
            <w:tcW w:w="1671" w:type="dxa"/>
          </w:tcPr>
          <w:p w14:paraId="38BFB978" w14:textId="77777777" w:rsidR="00B67DDD" w:rsidRDefault="00B67DDD" w:rsidP="004876DF">
            <w:pPr>
              <w:jc w:val="center"/>
              <w:rPr>
                <w:b/>
                <w:bCs/>
              </w:rPr>
            </w:pPr>
            <w:r>
              <w:rPr>
                <w:b/>
                <w:bCs/>
              </w:rPr>
              <w:t>Threatened miscarriage at 8 weeks</w:t>
            </w:r>
          </w:p>
        </w:tc>
      </w:tr>
    </w:tbl>
    <w:p w14:paraId="2959DE04" w14:textId="77777777" w:rsidR="00B67DDD" w:rsidRDefault="00B67DDD" w:rsidP="00B67DDD">
      <w:pPr>
        <w:spacing w:line="240" w:lineRule="auto"/>
        <w:rPr>
          <w:color w:val="000000"/>
          <w:shd w:val="clear" w:color="auto" w:fill="FFFFFF"/>
        </w:rPr>
      </w:pPr>
    </w:p>
    <w:p w14:paraId="77A70BCD" w14:textId="77777777" w:rsidR="00B67DDD" w:rsidRDefault="00B67DDD" w:rsidP="00B67DDD">
      <w:pPr>
        <w:spacing w:line="240" w:lineRule="auto"/>
        <w:rPr>
          <w:color w:val="000000"/>
          <w:sz w:val="20"/>
          <w:szCs w:val="20"/>
          <w:shd w:val="clear" w:color="auto" w:fill="FFFFFF"/>
        </w:rPr>
      </w:pPr>
    </w:p>
    <w:p w14:paraId="5E7CBB32" w14:textId="77777777" w:rsidR="00B67DDD" w:rsidRDefault="00B67DDD" w:rsidP="00B67DDD">
      <w:pPr>
        <w:spacing w:line="240" w:lineRule="auto"/>
        <w:ind w:left="-900"/>
        <w:rPr>
          <w:color w:val="000000"/>
          <w:sz w:val="20"/>
          <w:szCs w:val="20"/>
          <w:shd w:val="clear" w:color="auto" w:fill="FFFFFF"/>
        </w:rPr>
      </w:pPr>
    </w:p>
    <w:p w14:paraId="72265397" w14:textId="10F6A810" w:rsidR="00B67DDD" w:rsidRDefault="00B67DDD" w:rsidP="00B67DDD">
      <w:pPr>
        <w:spacing w:line="240" w:lineRule="auto"/>
        <w:ind w:left="-900"/>
        <w:rPr>
          <w:color w:val="000000"/>
          <w:sz w:val="20"/>
          <w:szCs w:val="20"/>
          <w:shd w:val="clear" w:color="auto" w:fill="FFFFFF"/>
        </w:rPr>
      </w:pPr>
    </w:p>
    <w:p w14:paraId="619A23C2" w14:textId="715AC149" w:rsidR="003753AA" w:rsidRDefault="003753AA" w:rsidP="00B67DDD">
      <w:pPr>
        <w:spacing w:line="240" w:lineRule="auto"/>
        <w:ind w:left="-900"/>
        <w:rPr>
          <w:color w:val="000000"/>
          <w:sz w:val="20"/>
          <w:szCs w:val="20"/>
          <w:shd w:val="clear" w:color="auto" w:fill="FFFFFF"/>
        </w:rPr>
      </w:pPr>
    </w:p>
    <w:p w14:paraId="41B5F85E" w14:textId="7D0608E2" w:rsidR="003753AA" w:rsidRDefault="003753AA" w:rsidP="00B67DDD">
      <w:pPr>
        <w:spacing w:line="240" w:lineRule="auto"/>
        <w:ind w:left="-900"/>
        <w:rPr>
          <w:color w:val="000000"/>
          <w:sz w:val="20"/>
          <w:szCs w:val="20"/>
          <w:shd w:val="clear" w:color="auto" w:fill="FFFFFF"/>
        </w:rPr>
      </w:pPr>
    </w:p>
    <w:p w14:paraId="6B8FC507" w14:textId="0586925C" w:rsidR="003753AA" w:rsidRDefault="003753AA" w:rsidP="00B67DDD">
      <w:pPr>
        <w:spacing w:line="240" w:lineRule="auto"/>
        <w:ind w:left="-900"/>
        <w:rPr>
          <w:color w:val="000000"/>
          <w:sz w:val="20"/>
          <w:szCs w:val="20"/>
          <w:shd w:val="clear" w:color="auto" w:fill="FFFFFF"/>
        </w:rPr>
      </w:pPr>
    </w:p>
    <w:p w14:paraId="397ACF42" w14:textId="376DD684" w:rsidR="003753AA" w:rsidRDefault="003753AA" w:rsidP="005364D8">
      <w:pPr>
        <w:spacing w:line="240" w:lineRule="auto"/>
        <w:rPr>
          <w:color w:val="000000"/>
          <w:sz w:val="20"/>
          <w:szCs w:val="20"/>
          <w:shd w:val="clear" w:color="auto" w:fill="FFFFFF"/>
        </w:rPr>
      </w:pPr>
    </w:p>
    <w:p w14:paraId="0BCB60FF" w14:textId="1454BE5A" w:rsidR="003753AA" w:rsidRDefault="003753AA" w:rsidP="00B67DDD">
      <w:pPr>
        <w:spacing w:line="240" w:lineRule="auto"/>
        <w:ind w:left="-900"/>
        <w:rPr>
          <w:color w:val="000000"/>
          <w:sz w:val="20"/>
          <w:szCs w:val="20"/>
          <w:shd w:val="clear" w:color="auto" w:fill="FFFFFF"/>
        </w:rPr>
      </w:pPr>
    </w:p>
    <w:p w14:paraId="12174084" w14:textId="2112B5D0" w:rsidR="003753AA" w:rsidRDefault="003753AA" w:rsidP="00B67DDD">
      <w:pPr>
        <w:spacing w:line="240" w:lineRule="auto"/>
        <w:ind w:left="-900"/>
        <w:rPr>
          <w:color w:val="000000"/>
          <w:sz w:val="20"/>
          <w:szCs w:val="20"/>
          <w:shd w:val="clear" w:color="auto" w:fill="FFFFFF"/>
        </w:rPr>
      </w:pPr>
    </w:p>
    <w:p w14:paraId="65D5A655" w14:textId="6B9BD485" w:rsidR="003753AA" w:rsidRDefault="003753AA" w:rsidP="00B67DDD">
      <w:pPr>
        <w:spacing w:line="240" w:lineRule="auto"/>
        <w:ind w:left="-900"/>
        <w:rPr>
          <w:color w:val="000000"/>
          <w:sz w:val="20"/>
          <w:szCs w:val="20"/>
          <w:shd w:val="clear" w:color="auto" w:fill="FFFFFF"/>
        </w:rPr>
      </w:pPr>
    </w:p>
    <w:p w14:paraId="5434D838" w14:textId="0A57B763" w:rsidR="002524A0" w:rsidRDefault="002524A0" w:rsidP="00B67DDD">
      <w:pPr>
        <w:spacing w:line="240" w:lineRule="auto"/>
        <w:ind w:left="-900"/>
        <w:rPr>
          <w:color w:val="000000"/>
          <w:sz w:val="20"/>
          <w:szCs w:val="20"/>
          <w:shd w:val="clear" w:color="auto" w:fill="FFFFFF"/>
        </w:rPr>
      </w:pPr>
    </w:p>
    <w:p w14:paraId="6222F8AD" w14:textId="72AAE906" w:rsidR="002524A0" w:rsidRDefault="002524A0" w:rsidP="00B67DDD">
      <w:pPr>
        <w:spacing w:line="240" w:lineRule="auto"/>
        <w:ind w:left="-900"/>
        <w:rPr>
          <w:color w:val="000000"/>
          <w:sz w:val="20"/>
          <w:szCs w:val="20"/>
          <w:shd w:val="clear" w:color="auto" w:fill="FFFFFF"/>
        </w:rPr>
      </w:pPr>
    </w:p>
    <w:p w14:paraId="21BA85C4" w14:textId="0BAA69FA" w:rsidR="002524A0" w:rsidRDefault="002524A0" w:rsidP="00B67DDD">
      <w:pPr>
        <w:spacing w:line="240" w:lineRule="auto"/>
        <w:ind w:left="-900"/>
        <w:rPr>
          <w:color w:val="000000"/>
          <w:sz w:val="20"/>
          <w:szCs w:val="20"/>
          <w:shd w:val="clear" w:color="auto" w:fill="FFFFFF"/>
        </w:rPr>
      </w:pPr>
    </w:p>
    <w:p w14:paraId="23B05105" w14:textId="3E21054F" w:rsidR="002524A0" w:rsidRDefault="002524A0" w:rsidP="00B67DDD">
      <w:pPr>
        <w:spacing w:line="240" w:lineRule="auto"/>
        <w:ind w:left="-900"/>
        <w:rPr>
          <w:color w:val="000000"/>
          <w:sz w:val="20"/>
          <w:szCs w:val="20"/>
          <w:shd w:val="clear" w:color="auto" w:fill="FFFFFF"/>
        </w:rPr>
      </w:pPr>
    </w:p>
    <w:p w14:paraId="13D56F09" w14:textId="7E115CBF" w:rsidR="002524A0" w:rsidRDefault="002524A0" w:rsidP="00B67DDD">
      <w:pPr>
        <w:spacing w:line="240" w:lineRule="auto"/>
        <w:ind w:left="-900"/>
        <w:rPr>
          <w:color w:val="000000"/>
          <w:sz w:val="20"/>
          <w:szCs w:val="20"/>
          <w:shd w:val="clear" w:color="auto" w:fill="FFFFFF"/>
        </w:rPr>
      </w:pPr>
    </w:p>
    <w:p w14:paraId="7B1FF93A" w14:textId="14A9315D" w:rsidR="002524A0" w:rsidRDefault="002524A0" w:rsidP="00B67DDD">
      <w:pPr>
        <w:spacing w:line="240" w:lineRule="auto"/>
        <w:ind w:left="-900"/>
        <w:rPr>
          <w:color w:val="000000"/>
          <w:sz w:val="20"/>
          <w:szCs w:val="20"/>
          <w:shd w:val="clear" w:color="auto" w:fill="FFFFFF"/>
        </w:rPr>
      </w:pPr>
    </w:p>
    <w:p w14:paraId="39D78A09" w14:textId="77777777" w:rsidR="002524A0" w:rsidRDefault="002524A0" w:rsidP="00B67DDD">
      <w:pPr>
        <w:spacing w:line="240" w:lineRule="auto"/>
        <w:ind w:left="-900"/>
        <w:rPr>
          <w:color w:val="000000"/>
          <w:sz w:val="20"/>
          <w:szCs w:val="20"/>
          <w:shd w:val="clear" w:color="auto" w:fill="FFFFFF"/>
        </w:rPr>
      </w:pPr>
    </w:p>
    <w:p w14:paraId="4A47558A" w14:textId="77777777" w:rsidR="003753AA" w:rsidRDefault="003753AA" w:rsidP="00B67DDD">
      <w:pPr>
        <w:spacing w:line="240" w:lineRule="auto"/>
        <w:ind w:left="-900"/>
        <w:rPr>
          <w:color w:val="000000"/>
          <w:sz w:val="20"/>
          <w:szCs w:val="20"/>
          <w:shd w:val="clear" w:color="auto" w:fill="FFFFFF"/>
        </w:rPr>
      </w:pPr>
    </w:p>
    <w:p w14:paraId="4361AD4F" w14:textId="77777777" w:rsidR="00B67DDD" w:rsidRPr="00797815" w:rsidRDefault="00B67DDD" w:rsidP="00B67DDD">
      <w:pPr>
        <w:spacing w:line="240" w:lineRule="auto"/>
        <w:ind w:left="-900"/>
        <w:rPr>
          <w:color w:val="000000"/>
          <w:sz w:val="20"/>
          <w:szCs w:val="20"/>
          <w:shd w:val="clear" w:color="auto" w:fill="FFFFFF"/>
        </w:rPr>
      </w:pPr>
      <w:r>
        <w:rPr>
          <w:color w:val="000000"/>
          <w:sz w:val="20"/>
          <w:szCs w:val="20"/>
          <w:shd w:val="clear" w:color="auto" w:fill="FFFFFF"/>
        </w:rPr>
        <w:t>Table 2:</w:t>
      </w:r>
      <w:r w:rsidRPr="00797815">
        <w:rPr>
          <w:color w:val="000000"/>
          <w:sz w:val="20"/>
          <w:szCs w:val="20"/>
          <w:shd w:val="clear" w:color="auto" w:fill="FFFFFF"/>
        </w:rPr>
        <w:t xml:space="preserve"> Delivery history: date, gestational age, outcome and Post-partum complications</w:t>
      </w:r>
    </w:p>
    <w:tbl>
      <w:tblPr>
        <w:tblStyle w:val="TableGrid"/>
        <w:tblpPr w:leftFromText="180" w:rightFromText="180" w:vertAnchor="text" w:horzAnchor="page" w:tblpX="469" w:tblpY="125"/>
        <w:tblOverlap w:val="never"/>
        <w:tblW w:w="11808" w:type="dxa"/>
        <w:tblLayout w:type="fixed"/>
        <w:tblLook w:val="04A0" w:firstRow="1" w:lastRow="0" w:firstColumn="1" w:lastColumn="0" w:noHBand="0" w:noVBand="1"/>
      </w:tblPr>
      <w:tblGrid>
        <w:gridCol w:w="1368"/>
        <w:gridCol w:w="1890"/>
        <w:gridCol w:w="1800"/>
        <w:gridCol w:w="3150"/>
        <w:gridCol w:w="2070"/>
        <w:gridCol w:w="1530"/>
      </w:tblGrid>
      <w:tr w:rsidR="00B67DDD" w14:paraId="457F928C" w14:textId="77777777" w:rsidTr="004876DF">
        <w:trPr>
          <w:trHeight w:val="713"/>
        </w:trPr>
        <w:tc>
          <w:tcPr>
            <w:tcW w:w="1368" w:type="dxa"/>
            <w:shd w:val="clear" w:color="auto" w:fill="D9D9D9" w:themeFill="background1" w:themeFillShade="D9"/>
          </w:tcPr>
          <w:p w14:paraId="15428771" w14:textId="77777777" w:rsidR="00B67DDD" w:rsidRDefault="00B67DDD" w:rsidP="004876DF">
            <w:pPr>
              <w:rPr>
                <w:b/>
                <w:bCs/>
              </w:rPr>
            </w:pPr>
          </w:p>
        </w:tc>
        <w:tc>
          <w:tcPr>
            <w:tcW w:w="1890" w:type="dxa"/>
            <w:shd w:val="clear" w:color="auto" w:fill="D9D9D9" w:themeFill="background1" w:themeFillShade="D9"/>
          </w:tcPr>
          <w:p w14:paraId="3452C86D" w14:textId="77777777" w:rsidR="00B67DDD" w:rsidRDefault="00B67DDD" w:rsidP="004876DF">
            <w:pPr>
              <w:jc w:val="center"/>
              <w:rPr>
                <w:b/>
                <w:bCs/>
              </w:rPr>
            </w:pPr>
            <w:r>
              <w:rPr>
                <w:b/>
                <w:bCs/>
              </w:rPr>
              <w:t>Date Of delivery</w:t>
            </w:r>
          </w:p>
        </w:tc>
        <w:tc>
          <w:tcPr>
            <w:tcW w:w="1800" w:type="dxa"/>
            <w:shd w:val="clear" w:color="auto" w:fill="D9D9D9" w:themeFill="background1" w:themeFillShade="D9"/>
          </w:tcPr>
          <w:p w14:paraId="66DFD749" w14:textId="77777777" w:rsidR="00B67DDD" w:rsidRDefault="00B67DDD" w:rsidP="004876DF">
            <w:pPr>
              <w:jc w:val="center"/>
              <w:rPr>
                <w:b/>
                <w:bCs/>
              </w:rPr>
            </w:pPr>
            <w:r>
              <w:rPr>
                <w:b/>
                <w:bCs/>
              </w:rPr>
              <w:t>Gestational age at delivery (weeks)</w:t>
            </w:r>
          </w:p>
        </w:tc>
        <w:tc>
          <w:tcPr>
            <w:tcW w:w="3150" w:type="dxa"/>
            <w:shd w:val="clear" w:color="auto" w:fill="D9D9D9" w:themeFill="background1" w:themeFillShade="D9"/>
          </w:tcPr>
          <w:p w14:paraId="3452F59E" w14:textId="77777777" w:rsidR="00B67DDD" w:rsidRDefault="00B67DDD" w:rsidP="004876DF">
            <w:pPr>
              <w:jc w:val="center"/>
              <w:rPr>
                <w:b/>
                <w:bCs/>
              </w:rPr>
            </w:pPr>
            <w:r>
              <w:rPr>
                <w:b/>
                <w:bCs/>
              </w:rPr>
              <w:t>Mode of Delivery</w:t>
            </w:r>
          </w:p>
        </w:tc>
        <w:tc>
          <w:tcPr>
            <w:tcW w:w="2070" w:type="dxa"/>
            <w:shd w:val="clear" w:color="auto" w:fill="D9D9D9" w:themeFill="background1" w:themeFillShade="D9"/>
          </w:tcPr>
          <w:p w14:paraId="6DA59007" w14:textId="77777777" w:rsidR="00B67DDD" w:rsidRDefault="00B67DDD" w:rsidP="004876DF">
            <w:pPr>
              <w:jc w:val="center"/>
              <w:rPr>
                <w:b/>
                <w:bCs/>
              </w:rPr>
            </w:pPr>
            <w:r>
              <w:rPr>
                <w:b/>
                <w:bCs/>
              </w:rPr>
              <w:t>Outcome</w:t>
            </w:r>
          </w:p>
        </w:tc>
        <w:tc>
          <w:tcPr>
            <w:tcW w:w="1530" w:type="dxa"/>
            <w:shd w:val="clear" w:color="auto" w:fill="D9D9D9" w:themeFill="background1" w:themeFillShade="D9"/>
          </w:tcPr>
          <w:p w14:paraId="03935063" w14:textId="77777777" w:rsidR="00B67DDD" w:rsidRDefault="00B67DDD" w:rsidP="004876DF">
            <w:pPr>
              <w:jc w:val="center"/>
              <w:rPr>
                <w:b/>
                <w:bCs/>
              </w:rPr>
            </w:pPr>
            <w:r>
              <w:rPr>
                <w:b/>
                <w:bCs/>
              </w:rPr>
              <w:t>P.P Complications</w:t>
            </w:r>
          </w:p>
        </w:tc>
      </w:tr>
      <w:tr w:rsidR="00B67DDD" w14:paraId="33E5E7A4" w14:textId="77777777" w:rsidTr="004876DF">
        <w:trPr>
          <w:trHeight w:val="617"/>
        </w:trPr>
        <w:tc>
          <w:tcPr>
            <w:tcW w:w="1368" w:type="dxa"/>
          </w:tcPr>
          <w:p w14:paraId="4A25E19F" w14:textId="77777777" w:rsidR="00B67DDD" w:rsidRDefault="00B67DDD" w:rsidP="004876DF">
            <w:pPr>
              <w:rPr>
                <w:b/>
                <w:bCs/>
              </w:rPr>
            </w:pPr>
            <w:r>
              <w:rPr>
                <w:b/>
                <w:bCs/>
              </w:rPr>
              <w:t>Case 1</w:t>
            </w:r>
          </w:p>
        </w:tc>
        <w:tc>
          <w:tcPr>
            <w:tcW w:w="1890" w:type="dxa"/>
          </w:tcPr>
          <w:p w14:paraId="2A4D65A8" w14:textId="77777777" w:rsidR="00B67DDD" w:rsidRDefault="00B67DDD" w:rsidP="004876DF">
            <w:pPr>
              <w:jc w:val="center"/>
              <w:rPr>
                <w:b/>
                <w:bCs/>
              </w:rPr>
            </w:pPr>
            <w:r>
              <w:rPr>
                <w:b/>
                <w:bCs/>
              </w:rPr>
              <w:t>25.08.2020</w:t>
            </w:r>
          </w:p>
        </w:tc>
        <w:tc>
          <w:tcPr>
            <w:tcW w:w="1800" w:type="dxa"/>
          </w:tcPr>
          <w:p w14:paraId="7641B026" w14:textId="77777777" w:rsidR="00B67DDD" w:rsidRDefault="00B67DDD" w:rsidP="004876DF">
            <w:pPr>
              <w:jc w:val="center"/>
              <w:rPr>
                <w:b/>
                <w:bCs/>
              </w:rPr>
            </w:pPr>
            <w:r>
              <w:rPr>
                <w:b/>
                <w:bCs/>
              </w:rPr>
              <w:t>37</w:t>
            </w:r>
            <w:r w:rsidRPr="00DC1AA9">
              <w:rPr>
                <w:b/>
                <w:bCs/>
                <w:vertAlign w:val="superscript"/>
              </w:rPr>
              <w:t>+2</w:t>
            </w:r>
          </w:p>
        </w:tc>
        <w:tc>
          <w:tcPr>
            <w:tcW w:w="3150" w:type="dxa"/>
          </w:tcPr>
          <w:p w14:paraId="510FA501" w14:textId="77777777" w:rsidR="00B67DDD" w:rsidRDefault="00B67DDD" w:rsidP="004876DF">
            <w:pPr>
              <w:jc w:val="center"/>
              <w:rPr>
                <w:b/>
                <w:bCs/>
              </w:rPr>
            </w:pPr>
            <w:r>
              <w:rPr>
                <w:b/>
                <w:bCs/>
              </w:rPr>
              <w:t>Repeated, Elective Cesarean Section</w:t>
            </w:r>
          </w:p>
        </w:tc>
        <w:tc>
          <w:tcPr>
            <w:tcW w:w="2070" w:type="dxa"/>
          </w:tcPr>
          <w:p w14:paraId="6039F34C" w14:textId="77777777" w:rsidR="00B67DDD" w:rsidRDefault="00B67DDD" w:rsidP="004876DF">
            <w:pPr>
              <w:jc w:val="center"/>
              <w:rPr>
                <w:b/>
                <w:bCs/>
              </w:rPr>
            </w:pPr>
            <w:r>
              <w:rPr>
                <w:b/>
                <w:bCs/>
              </w:rPr>
              <w:t>3.4 kg, female baby</w:t>
            </w:r>
          </w:p>
        </w:tc>
        <w:tc>
          <w:tcPr>
            <w:tcW w:w="1530" w:type="dxa"/>
          </w:tcPr>
          <w:p w14:paraId="2A37A5F1" w14:textId="77777777" w:rsidR="00B67DDD" w:rsidRDefault="00B67DDD" w:rsidP="004876DF">
            <w:pPr>
              <w:jc w:val="center"/>
              <w:rPr>
                <w:b/>
                <w:bCs/>
              </w:rPr>
            </w:pPr>
            <w:r>
              <w:rPr>
                <w:b/>
                <w:bCs/>
              </w:rPr>
              <w:t>N/A</w:t>
            </w:r>
          </w:p>
        </w:tc>
      </w:tr>
      <w:tr w:rsidR="00B67DDD" w14:paraId="55E65860" w14:textId="77777777" w:rsidTr="004876DF">
        <w:trPr>
          <w:trHeight w:val="437"/>
        </w:trPr>
        <w:tc>
          <w:tcPr>
            <w:tcW w:w="1368" w:type="dxa"/>
            <w:shd w:val="clear" w:color="auto" w:fill="D9D9D9" w:themeFill="background1" w:themeFillShade="D9"/>
          </w:tcPr>
          <w:p w14:paraId="15F4574C" w14:textId="77777777" w:rsidR="00B67DDD" w:rsidRDefault="00B67DDD" w:rsidP="004876DF">
            <w:pPr>
              <w:rPr>
                <w:b/>
                <w:bCs/>
              </w:rPr>
            </w:pPr>
            <w:r>
              <w:rPr>
                <w:b/>
                <w:bCs/>
              </w:rPr>
              <w:t>Case 2</w:t>
            </w:r>
          </w:p>
        </w:tc>
        <w:tc>
          <w:tcPr>
            <w:tcW w:w="1890" w:type="dxa"/>
            <w:shd w:val="clear" w:color="auto" w:fill="D9D9D9" w:themeFill="background1" w:themeFillShade="D9"/>
          </w:tcPr>
          <w:p w14:paraId="59C5B47B" w14:textId="77777777" w:rsidR="00B67DDD" w:rsidRDefault="00B67DDD" w:rsidP="004876DF">
            <w:pPr>
              <w:jc w:val="center"/>
              <w:rPr>
                <w:b/>
                <w:bCs/>
              </w:rPr>
            </w:pPr>
            <w:r>
              <w:rPr>
                <w:b/>
                <w:bCs/>
              </w:rPr>
              <w:t>26.07.2020</w:t>
            </w:r>
          </w:p>
        </w:tc>
        <w:tc>
          <w:tcPr>
            <w:tcW w:w="1800" w:type="dxa"/>
            <w:shd w:val="clear" w:color="auto" w:fill="D9D9D9" w:themeFill="background1" w:themeFillShade="D9"/>
          </w:tcPr>
          <w:p w14:paraId="10A9C387" w14:textId="77777777" w:rsidR="00B67DDD" w:rsidRDefault="00B67DDD" w:rsidP="004876DF">
            <w:pPr>
              <w:jc w:val="center"/>
              <w:rPr>
                <w:b/>
                <w:bCs/>
              </w:rPr>
            </w:pPr>
            <w:r>
              <w:rPr>
                <w:b/>
                <w:bCs/>
              </w:rPr>
              <w:t>38</w:t>
            </w:r>
            <w:r w:rsidRPr="00260D27">
              <w:rPr>
                <w:b/>
                <w:bCs/>
                <w:vertAlign w:val="superscript"/>
              </w:rPr>
              <w:t>+5</w:t>
            </w:r>
          </w:p>
        </w:tc>
        <w:tc>
          <w:tcPr>
            <w:tcW w:w="3150" w:type="dxa"/>
            <w:shd w:val="clear" w:color="auto" w:fill="D9D9D9" w:themeFill="background1" w:themeFillShade="D9"/>
          </w:tcPr>
          <w:p w14:paraId="5BBEDAA6" w14:textId="77777777" w:rsidR="00B67DDD" w:rsidRDefault="00B67DDD" w:rsidP="004876DF">
            <w:pPr>
              <w:jc w:val="center"/>
              <w:rPr>
                <w:b/>
                <w:bCs/>
              </w:rPr>
            </w:pPr>
            <w:r>
              <w:rPr>
                <w:b/>
                <w:bCs/>
              </w:rPr>
              <w:t>Repeated, Elective Cesarean Section</w:t>
            </w:r>
          </w:p>
        </w:tc>
        <w:tc>
          <w:tcPr>
            <w:tcW w:w="2070" w:type="dxa"/>
            <w:shd w:val="clear" w:color="auto" w:fill="D9D9D9" w:themeFill="background1" w:themeFillShade="D9"/>
          </w:tcPr>
          <w:p w14:paraId="43D6EC85" w14:textId="77777777" w:rsidR="00B67DDD" w:rsidRDefault="00B67DDD" w:rsidP="004876DF">
            <w:pPr>
              <w:jc w:val="center"/>
              <w:rPr>
                <w:b/>
                <w:bCs/>
              </w:rPr>
            </w:pPr>
            <w:r>
              <w:rPr>
                <w:b/>
                <w:bCs/>
              </w:rPr>
              <w:t>3 kg, Female</w:t>
            </w:r>
          </w:p>
        </w:tc>
        <w:tc>
          <w:tcPr>
            <w:tcW w:w="1530" w:type="dxa"/>
            <w:shd w:val="clear" w:color="auto" w:fill="D9D9D9" w:themeFill="background1" w:themeFillShade="D9"/>
          </w:tcPr>
          <w:p w14:paraId="273C7878" w14:textId="77777777" w:rsidR="00B67DDD" w:rsidRDefault="00B67DDD" w:rsidP="004876DF">
            <w:pPr>
              <w:jc w:val="center"/>
              <w:rPr>
                <w:b/>
                <w:bCs/>
              </w:rPr>
            </w:pPr>
            <w:r>
              <w:rPr>
                <w:b/>
                <w:bCs/>
              </w:rPr>
              <w:t>N/A</w:t>
            </w:r>
          </w:p>
        </w:tc>
      </w:tr>
      <w:tr w:rsidR="00B67DDD" w14:paraId="56B4FD15" w14:textId="77777777" w:rsidTr="004876DF">
        <w:trPr>
          <w:trHeight w:val="977"/>
        </w:trPr>
        <w:tc>
          <w:tcPr>
            <w:tcW w:w="1368" w:type="dxa"/>
          </w:tcPr>
          <w:p w14:paraId="00D95157" w14:textId="77777777" w:rsidR="00B67DDD" w:rsidRDefault="00B67DDD" w:rsidP="004876DF">
            <w:pPr>
              <w:rPr>
                <w:b/>
                <w:bCs/>
              </w:rPr>
            </w:pPr>
            <w:r>
              <w:rPr>
                <w:b/>
                <w:bCs/>
              </w:rPr>
              <w:t>Case 3</w:t>
            </w:r>
          </w:p>
        </w:tc>
        <w:tc>
          <w:tcPr>
            <w:tcW w:w="1890" w:type="dxa"/>
          </w:tcPr>
          <w:p w14:paraId="2C1230C0" w14:textId="77777777" w:rsidR="00B67DDD" w:rsidRDefault="00B67DDD" w:rsidP="004876DF">
            <w:pPr>
              <w:jc w:val="center"/>
              <w:rPr>
                <w:b/>
                <w:bCs/>
              </w:rPr>
            </w:pPr>
            <w:r>
              <w:rPr>
                <w:b/>
                <w:bCs/>
              </w:rPr>
              <w:t>23.05.2020</w:t>
            </w:r>
          </w:p>
        </w:tc>
        <w:tc>
          <w:tcPr>
            <w:tcW w:w="1800" w:type="dxa"/>
          </w:tcPr>
          <w:p w14:paraId="50E50DCB" w14:textId="77777777" w:rsidR="00B67DDD" w:rsidRDefault="00B67DDD" w:rsidP="004876DF">
            <w:pPr>
              <w:jc w:val="center"/>
              <w:rPr>
                <w:b/>
                <w:bCs/>
              </w:rPr>
            </w:pPr>
            <w:r>
              <w:rPr>
                <w:b/>
                <w:bCs/>
              </w:rPr>
              <w:t>39</w:t>
            </w:r>
          </w:p>
        </w:tc>
        <w:tc>
          <w:tcPr>
            <w:tcW w:w="3150" w:type="dxa"/>
          </w:tcPr>
          <w:p w14:paraId="7E4EF421" w14:textId="77777777" w:rsidR="00B67DDD" w:rsidRDefault="00B67DDD" w:rsidP="004876DF">
            <w:pPr>
              <w:jc w:val="center"/>
              <w:rPr>
                <w:b/>
                <w:bCs/>
              </w:rPr>
            </w:pPr>
            <w:r>
              <w:rPr>
                <w:b/>
                <w:bCs/>
              </w:rPr>
              <w:t>Emergency CS at fully dilated cervix due to failure to descent</w:t>
            </w:r>
          </w:p>
        </w:tc>
        <w:tc>
          <w:tcPr>
            <w:tcW w:w="2070" w:type="dxa"/>
          </w:tcPr>
          <w:p w14:paraId="35F8942B" w14:textId="77777777" w:rsidR="00B67DDD" w:rsidRDefault="00B67DDD" w:rsidP="004876DF">
            <w:pPr>
              <w:jc w:val="center"/>
              <w:rPr>
                <w:b/>
                <w:bCs/>
              </w:rPr>
            </w:pPr>
            <w:r>
              <w:rPr>
                <w:b/>
                <w:bCs/>
              </w:rPr>
              <w:t>4.2 kg, male baby</w:t>
            </w:r>
          </w:p>
          <w:p w14:paraId="1C590AF8" w14:textId="77777777" w:rsidR="00B67DDD" w:rsidRDefault="00B67DDD" w:rsidP="004876DF">
            <w:pPr>
              <w:jc w:val="center"/>
              <w:rPr>
                <w:b/>
                <w:bCs/>
              </w:rPr>
            </w:pPr>
            <w:r>
              <w:rPr>
                <w:b/>
                <w:bCs/>
              </w:rPr>
              <w:t xml:space="preserve">NICU for two days </w:t>
            </w:r>
          </w:p>
        </w:tc>
        <w:tc>
          <w:tcPr>
            <w:tcW w:w="1530" w:type="dxa"/>
          </w:tcPr>
          <w:p w14:paraId="1F067B4D" w14:textId="77777777" w:rsidR="00B67DDD" w:rsidRDefault="00B67DDD" w:rsidP="004876DF">
            <w:pPr>
              <w:tabs>
                <w:tab w:val="left" w:pos="750"/>
                <w:tab w:val="center" w:pos="1652"/>
              </w:tabs>
              <w:jc w:val="center"/>
              <w:rPr>
                <w:b/>
                <w:bCs/>
              </w:rPr>
            </w:pPr>
            <w:r>
              <w:rPr>
                <w:b/>
                <w:bCs/>
              </w:rPr>
              <w:t>Wound infection</w:t>
            </w:r>
          </w:p>
        </w:tc>
      </w:tr>
    </w:tbl>
    <w:p w14:paraId="785DECBC" w14:textId="77777777" w:rsidR="00B67DDD" w:rsidRDefault="00B67DDD" w:rsidP="00B67DDD">
      <w:pPr>
        <w:spacing w:line="240" w:lineRule="auto"/>
        <w:rPr>
          <w:b/>
          <w:bCs/>
        </w:rPr>
      </w:pPr>
    </w:p>
    <w:p w14:paraId="464FEDE5" w14:textId="77777777" w:rsidR="00B67DDD" w:rsidRDefault="00B67DDD" w:rsidP="00B67DDD">
      <w:pPr>
        <w:spacing w:line="240" w:lineRule="auto"/>
        <w:rPr>
          <w:b/>
          <w:bCs/>
        </w:rPr>
      </w:pPr>
    </w:p>
    <w:p w14:paraId="5EE39B82" w14:textId="257E3229" w:rsidR="00B67DDD" w:rsidRDefault="00B67DDD" w:rsidP="00582707">
      <w:pPr>
        <w:rPr>
          <w:b/>
          <w:bCs/>
        </w:rPr>
      </w:pPr>
    </w:p>
    <w:p w14:paraId="75570FC8" w14:textId="28055109" w:rsidR="005364D8" w:rsidRDefault="005364D8" w:rsidP="00582707">
      <w:pPr>
        <w:rPr>
          <w:b/>
          <w:bCs/>
        </w:rPr>
      </w:pPr>
    </w:p>
    <w:p w14:paraId="6F0296F7" w14:textId="5166739F" w:rsidR="005364D8" w:rsidRDefault="005364D8" w:rsidP="00582707">
      <w:pPr>
        <w:rPr>
          <w:b/>
          <w:bCs/>
        </w:rPr>
      </w:pPr>
    </w:p>
    <w:p w14:paraId="626E7832" w14:textId="43060369" w:rsidR="005364D8" w:rsidRDefault="005364D8" w:rsidP="00582707">
      <w:pPr>
        <w:rPr>
          <w:b/>
          <w:bCs/>
        </w:rPr>
      </w:pPr>
    </w:p>
    <w:p w14:paraId="58BDA68A" w14:textId="7EAADC56" w:rsidR="005364D8" w:rsidRDefault="005364D8" w:rsidP="00582707">
      <w:pPr>
        <w:rPr>
          <w:b/>
          <w:bCs/>
        </w:rPr>
      </w:pPr>
    </w:p>
    <w:p w14:paraId="7BD3D822" w14:textId="09178B2A" w:rsidR="005364D8" w:rsidRDefault="005364D8" w:rsidP="00582707">
      <w:pPr>
        <w:rPr>
          <w:b/>
          <w:bCs/>
        </w:rPr>
      </w:pPr>
    </w:p>
    <w:p w14:paraId="674272A4" w14:textId="7B34FA1B" w:rsidR="005364D8" w:rsidRDefault="005364D8" w:rsidP="00582707">
      <w:pPr>
        <w:rPr>
          <w:b/>
          <w:bCs/>
        </w:rPr>
      </w:pPr>
    </w:p>
    <w:p w14:paraId="3A6BD9AA" w14:textId="568A3256" w:rsidR="005364D8" w:rsidRDefault="005364D8" w:rsidP="00582707">
      <w:pPr>
        <w:rPr>
          <w:b/>
          <w:bCs/>
        </w:rPr>
      </w:pPr>
    </w:p>
    <w:p w14:paraId="0EB9F672" w14:textId="0F3027CB" w:rsidR="005364D8" w:rsidRDefault="005364D8" w:rsidP="00582707">
      <w:pPr>
        <w:rPr>
          <w:b/>
          <w:bCs/>
        </w:rPr>
      </w:pPr>
    </w:p>
    <w:p w14:paraId="457348F3" w14:textId="72C26093" w:rsidR="005364D8" w:rsidRDefault="005364D8" w:rsidP="00582707">
      <w:pPr>
        <w:rPr>
          <w:b/>
          <w:bCs/>
        </w:rPr>
      </w:pPr>
    </w:p>
    <w:p w14:paraId="25FFE07D" w14:textId="1CD75F87" w:rsidR="005364D8" w:rsidRDefault="005364D8" w:rsidP="00582707">
      <w:pPr>
        <w:rPr>
          <w:b/>
          <w:bCs/>
        </w:rPr>
      </w:pPr>
    </w:p>
    <w:p w14:paraId="0D7872DF" w14:textId="60DB8AA9" w:rsidR="002524A0" w:rsidRDefault="002524A0" w:rsidP="00582707">
      <w:pPr>
        <w:rPr>
          <w:b/>
          <w:bCs/>
        </w:rPr>
      </w:pPr>
    </w:p>
    <w:p w14:paraId="61635154" w14:textId="3A33FED9" w:rsidR="002524A0" w:rsidRDefault="002524A0" w:rsidP="00582707">
      <w:pPr>
        <w:rPr>
          <w:b/>
          <w:bCs/>
        </w:rPr>
      </w:pPr>
    </w:p>
    <w:p w14:paraId="77C4A3EB" w14:textId="4DD16D73" w:rsidR="002524A0" w:rsidRDefault="002524A0" w:rsidP="00582707">
      <w:pPr>
        <w:rPr>
          <w:b/>
          <w:bCs/>
        </w:rPr>
      </w:pPr>
    </w:p>
    <w:p w14:paraId="7660B103" w14:textId="7673B0EE" w:rsidR="002524A0" w:rsidRDefault="002524A0" w:rsidP="00582707">
      <w:pPr>
        <w:rPr>
          <w:b/>
          <w:bCs/>
        </w:rPr>
      </w:pPr>
    </w:p>
    <w:p w14:paraId="4F578994" w14:textId="77777777" w:rsidR="002524A0" w:rsidRDefault="002524A0" w:rsidP="00582707">
      <w:pPr>
        <w:rPr>
          <w:b/>
          <w:bCs/>
        </w:rPr>
      </w:pPr>
    </w:p>
    <w:p w14:paraId="64467A0E" w14:textId="7BFE56B3" w:rsidR="00436024" w:rsidRDefault="00436024" w:rsidP="00436024">
      <w:pPr>
        <w:rPr>
          <w:b/>
          <w:bCs/>
        </w:rPr>
      </w:pPr>
      <w:proofErr w:type="gramStart"/>
      <w:r>
        <w:rPr>
          <w:b/>
          <w:bCs/>
        </w:rPr>
        <w:t>Figure 1.</w:t>
      </w:r>
      <w:proofErr w:type="gramEnd"/>
      <w:r>
        <w:rPr>
          <w:b/>
          <w:bCs/>
        </w:rPr>
        <w:t xml:space="preserve"> </w:t>
      </w:r>
      <w:proofErr w:type="gramStart"/>
      <w:r>
        <w:rPr>
          <w:b/>
          <w:bCs/>
        </w:rPr>
        <w:t xml:space="preserve">The management protocol used in the reported three cases of RPL with </w:t>
      </w:r>
      <w:r w:rsidRPr="00894A9E">
        <w:rPr>
          <w:b/>
          <w:bCs/>
        </w:rPr>
        <w:t>Factor XIII Val34Leu homozygous polymorphism</w:t>
      </w:r>
      <w:r>
        <w:rPr>
          <w:b/>
          <w:bCs/>
        </w:rPr>
        <w:t>.</w:t>
      </w:r>
      <w:proofErr w:type="gramEnd"/>
    </w:p>
    <w:p w14:paraId="6F9FD52F" w14:textId="4759FE6D" w:rsidR="005364D8" w:rsidRDefault="007128E6" w:rsidP="00436024">
      <w:pPr>
        <w:ind w:left="-810"/>
        <w:rPr>
          <w:b/>
          <w:bCs/>
          <w:rtl/>
        </w:rPr>
      </w:pPr>
      <w:r>
        <w:rPr>
          <w:b/>
          <w:bCs/>
          <w:noProof/>
        </w:rPr>
        <w:lastRenderedPageBreak/>
        <mc:AlternateContent>
          <mc:Choice Requires="wps">
            <w:drawing>
              <wp:anchor distT="0" distB="0" distL="114300" distR="114300" simplePos="0" relativeHeight="251669504" behindDoc="0" locked="0" layoutInCell="1" allowOverlap="1" wp14:anchorId="2FC01906" wp14:editId="7D7AA476">
                <wp:simplePos x="0" y="0"/>
                <wp:positionH relativeFrom="column">
                  <wp:posOffset>5032375</wp:posOffset>
                </wp:positionH>
                <wp:positionV relativeFrom="paragraph">
                  <wp:posOffset>910895</wp:posOffset>
                </wp:positionV>
                <wp:extent cx="295275" cy="276225"/>
                <wp:effectExtent l="0" t="19050" r="47625" b="47625"/>
                <wp:wrapNone/>
                <wp:docPr id="5" name="Arrow: Right 5"/>
                <wp:cNvGraphicFramePr/>
                <a:graphic xmlns:a="http://schemas.openxmlformats.org/drawingml/2006/main">
                  <a:graphicData uri="http://schemas.microsoft.com/office/word/2010/wordprocessingShape">
                    <wps:wsp>
                      <wps:cNvSpPr/>
                      <wps:spPr>
                        <a:xfrm>
                          <a:off x="0" y="0"/>
                          <a:ext cx="295275" cy="2762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4A8F3F0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 o:spid="_x0000_s1026" type="#_x0000_t13" style="position:absolute;margin-left:396.25pt;margin-top:71.7pt;width:23.25pt;height:2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" adj="11497" fillcolor="#4f81bd [3204]" strokecolor="#243f60 [1604]" strokeweight="2pt"/>
            </w:pict>
          </mc:Fallback>
        </mc:AlternateContent>
      </w:r>
      <w:r>
        <w:rPr>
          <w:b/>
          <w:bCs/>
          <w:noProof/>
        </w:rPr>
        <mc:AlternateContent>
          <mc:Choice Requires="wps">
            <w:drawing>
              <wp:anchor distT="0" distB="0" distL="114300" distR="114300" simplePos="0" relativeHeight="251663360" behindDoc="0" locked="0" layoutInCell="1" allowOverlap="1" wp14:anchorId="7BE9C6B9" wp14:editId="009966E2">
                <wp:simplePos x="0" y="0"/>
                <wp:positionH relativeFrom="column">
                  <wp:posOffset>3575050</wp:posOffset>
                </wp:positionH>
                <wp:positionV relativeFrom="paragraph">
                  <wp:posOffset>899744</wp:posOffset>
                </wp:positionV>
                <wp:extent cx="295275" cy="276225"/>
                <wp:effectExtent l="0" t="19050" r="47625" b="47625"/>
                <wp:wrapNone/>
                <wp:docPr id="4" name="Arrow: Right 4"/>
                <wp:cNvGraphicFramePr/>
                <a:graphic xmlns:a="http://schemas.openxmlformats.org/drawingml/2006/main">
                  <a:graphicData uri="http://schemas.microsoft.com/office/word/2010/wordprocessingShape">
                    <wps:wsp>
                      <wps:cNvSpPr/>
                      <wps:spPr>
                        <a:xfrm>
                          <a:off x="0" y="0"/>
                          <a:ext cx="295275" cy="2762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15706B03" id="Arrow: Right 4" o:spid="_x0000_s1026" type="#_x0000_t13" style="position:absolute;margin-left:281.5pt;margin-top:70.85pt;width:23.25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" adj="11497" fillcolor="#4f81bd [3204]" strokecolor="#243f60 [1604]" strokeweight="2pt"/>
            </w:pict>
          </mc:Fallback>
        </mc:AlternateContent>
      </w:r>
      <w:r>
        <w:rPr>
          <w:b/>
          <w:bCs/>
          <w:noProof/>
        </w:rPr>
        <mc:AlternateContent>
          <mc:Choice Requires="wps">
            <w:drawing>
              <wp:anchor distT="0" distB="0" distL="114300" distR="114300" simplePos="0" relativeHeight="251657216" behindDoc="0" locked="0" layoutInCell="1" allowOverlap="1" wp14:anchorId="1C26DD1B" wp14:editId="216EF734">
                <wp:simplePos x="0" y="0"/>
                <wp:positionH relativeFrom="column">
                  <wp:posOffset>2114550</wp:posOffset>
                </wp:positionH>
                <wp:positionV relativeFrom="paragraph">
                  <wp:posOffset>903300</wp:posOffset>
                </wp:positionV>
                <wp:extent cx="295275" cy="276225"/>
                <wp:effectExtent l="0" t="19050" r="47625" b="47625"/>
                <wp:wrapNone/>
                <wp:docPr id="3" name="Arrow: Right 3"/>
                <wp:cNvGraphicFramePr/>
                <a:graphic xmlns:a="http://schemas.openxmlformats.org/drawingml/2006/main">
                  <a:graphicData uri="http://schemas.microsoft.com/office/word/2010/wordprocessingShape">
                    <wps:wsp>
                      <wps:cNvSpPr/>
                      <wps:spPr>
                        <a:xfrm>
                          <a:off x="0" y="0"/>
                          <a:ext cx="295275" cy="2762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35065437" id="Arrow: Right 3" o:spid="_x0000_s1026" type="#_x0000_t13" style="position:absolute;margin-left:166.5pt;margin-top:71.15pt;width:23.25pt;height: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" adj="11497" fillcolor="#4f81bd [3204]" strokecolor="#243f60 [1604]" strokeweight="2pt"/>
            </w:pict>
          </mc:Fallback>
        </mc:AlternateContent>
      </w:r>
      <w:r>
        <w:rPr>
          <w:b/>
          <w:bCs/>
          <w:noProof/>
        </w:rPr>
        <mc:AlternateContent>
          <mc:Choice Requires="wps">
            <w:drawing>
              <wp:anchor distT="0" distB="0" distL="114300" distR="114300" simplePos="0" relativeHeight="251651072" behindDoc="0" locked="0" layoutInCell="1" allowOverlap="1" wp14:anchorId="6FFB18B3" wp14:editId="326B16C1">
                <wp:simplePos x="0" y="0"/>
                <wp:positionH relativeFrom="column">
                  <wp:posOffset>657225</wp:posOffset>
                </wp:positionH>
                <wp:positionV relativeFrom="paragraph">
                  <wp:posOffset>900735</wp:posOffset>
                </wp:positionV>
                <wp:extent cx="295275" cy="276225"/>
                <wp:effectExtent l="0" t="19050" r="47625" b="47625"/>
                <wp:wrapNone/>
                <wp:docPr id="2" name="Arrow: Right 2"/>
                <wp:cNvGraphicFramePr/>
                <a:graphic xmlns:a="http://schemas.openxmlformats.org/drawingml/2006/main">
                  <a:graphicData uri="http://schemas.microsoft.com/office/word/2010/wordprocessingShape">
                    <wps:wsp>
                      <wps:cNvSpPr/>
                      <wps:spPr>
                        <a:xfrm>
                          <a:off x="0" y="0"/>
                          <a:ext cx="295275" cy="2762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6D18066D" id="Arrow: Right 2" o:spid="_x0000_s1026" type="#_x0000_t13" style="position:absolute;margin-left:51.75pt;margin-top:70.9pt;width:23.25pt;height:21.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" adj="11497" fillcolor="#4f81bd [3204]" strokecolor="#243f60 [1604]" strokeweight="2pt"/>
            </w:pict>
          </mc:Fallback>
        </mc:AlternateContent>
      </w:r>
      <w:r w:rsidR="00436024">
        <w:rPr>
          <w:b/>
          <w:bCs/>
          <w:noProof/>
        </w:rPr>
        <w:drawing>
          <wp:inline distT="0" distB="0" distL="0" distR="0" wp14:anchorId="2ADC47FF" wp14:editId="2DFD32E2">
            <wp:extent cx="7010400" cy="3552825"/>
            <wp:effectExtent l="0" t="0" r="3810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sectPr w:rsidR="005364D8" w:rsidSect="00D7123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DE5177" w14:textId="77777777" w:rsidR="00D912C0" w:rsidRDefault="00D912C0" w:rsidP="00696DEF">
      <w:pPr>
        <w:spacing w:after="0" w:line="240" w:lineRule="auto"/>
      </w:pPr>
      <w:r>
        <w:separator/>
      </w:r>
    </w:p>
  </w:endnote>
  <w:endnote w:type="continuationSeparator" w:id="0">
    <w:p w14:paraId="267D004F" w14:textId="77777777" w:rsidR="00D912C0" w:rsidRDefault="00D912C0" w:rsidP="00696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03D013" w14:textId="77777777" w:rsidR="00D912C0" w:rsidRDefault="00D912C0" w:rsidP="00696DEF">
      <w:pPr>
        <w:spacing w:after="0" w:line="240" w:lineRule="auto"/>
      </w:pPr>
      <w:r>
        <w:separator/>
      </w:r>
    </w:p>
  </w:footnote>
  <w:footnote w:type="continuationSeparator" w:id="0">
    <w:p w14:paraId="3B2CD2DA" w14:textId="77777777" w:rsidR="00D912C0" w:rsidRDefault="00D912C0" w:rsidP="00696D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E53FD"/>
    <w:multiLevelType w:val="hybridMultilevel"/>
    <w:tmpl w:val="AB00AE44"/>
    <w:lvl w:ilvl="0" w:tplc="B472ED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576524"/>
    <w:multiLevelType w:val="multilevel"/>
    <w:tmpl w:val="C1627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BB2CF0"/>
    <w:multiLevelType w:val="hybridMultilevel"/>
    <w:tmpl w:val="DAD0ECF8"/>
    <w:lvl w:ilvl="0" w:tplc="A8B0D1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A649D7"/>
    <w:multiLevelType w:val="multilevel"/>
    <w:tmpl w:val="19A63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402911"/>
    <w:multiLevelType w:val="hybridMultilevel"/>
    <w:tmpl w:val="DABAB3FA"/>
    <w:lvl w:ilvl="0" w:tplc="1FDEFF12">
      <w:start w:val="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C73145"/>
    <w:multiLevelType w:val="multilevel"/>
    <w:tmpl w:val="D5408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385E89"/>
    <w:multiLevelType w:val="multilevel"/>
    <w:tmpl w:val="F3546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5937A3"/>
    <w:multiLevelType w:val="multilevel"/>
    <w:tmpl w:val="55DE8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D1B5019"/>
    <w:multiLevelType w:val="multilevel"/>
    <w:tmpl w:val="3870A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A7D6EB9"/>
    <w:multiLevelType w:val="hybridMultilevel"/>
    <w:tmpl w:val="63DA37D8"/>
    <w:lvl w:ilvl="0" w:tplc="4692B9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E92924"/>
    <w:multiLevelType w:val="multilevel"/>
    <w:tmpl w:val="035E9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7"/>
  </w:num>
  <w:num w:numId="4">
    <w:abstractNumId w:val="0"/>
  </w:num>
  <w:num w:numId="5">
    <w:abstractNumId w:val="10"/>
  </w:num>
  <w:num w:numId="6">
    <w:abstractNumId w:val="8"/>
  </w:num>
  <w:num w:numId="7">
    <w:abstractNumId w:val="6"/>
  </w:num>
  <w:num w:numId="8">
    <w:abstractNumId w:val="3"/>
  </w:num>
  <w:num w:numId="9">
    <w:abstractNumId w:val="1"/>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30A"/>
    <w:rsid w:val="00020167"/>
    <w:rsid w:val="000236AA"/>
    <w:rsid w:val="00026495"/>
    <w:rsid w:val="00027518"/>
    <w:rsid w:val="00062A30"/>
    <w:rsid w:val="00073D75"/>
    <w:rsid w:val="000B140F"/>
    <w:rsid w:val="000D1F6A"/>
    <w:rsid w:val="000D297A"/>
    <w:rsid w:val="000E376F"/>
    <w:rsid w:val="000F3EA7"/>
    <w:rsid w:val="000F6FB9"/>
    <w:rsid w:val="00107536"/>
    <w:rsid w:val="0011003A"/>
    <w:rsid w:val="00110DCB"/>
    <w:rsid w:val="00116A69"/>
    <w:rsid w:val="00130F4F"/>
    <w:rsid w:val="00135CD2"/>
    <w:rsid w:val="00144530"/>
    <w:rsid w:val="00157AA9"/>
    <w:rsid w:val="001712BC"/>
    <w:rsid w:val="0017188D"/>
    <w:rsid w:val="001924F4"/>
    <w:rsid w:val="001A06F0"/>
    <w:rsid w:val="001A0DE1"/>
    <w:rsid w:val="001B1E8C"/>
    <w:rsid w:val="001B30EB"/>
    <w:rsid w:val="001B43EA"/>
    <w:rsid w:val="001B59CA"/>
    <w:rsid w:val="001C4D95"/>
    <w:rsid w:val="001E45D2"/>
    <w:rsid w:val="001F0D75"/>
    <w:rsid w:val="001F2047"/>
    <w:rsid w:val="001F6FCA"/>
    <w:rsid w:val="0020345D"/>
    <w:rsid w:val="00206E15"/>
    <w:rsid w:val="00211A06"/>
    <w:rsid w:val="00213B45"/>
    <w:rsid w:val="00222E09"/>
    <w:rsid w:val="00223319"/>
    <w:rsid w:val="0022767C"/>
    <w:rsid w:val="00233FF7"/>
    <w:rsid w:val="00234864"/>
    <w:rsid w:val="002524A0"/>
    <w:rsid w:val="002558E9"/>
    <w:rsid w:val="00256CC2"/>
    <w:rsid w:val="00260D27"/>
    <w:rsid w:val="00283F78"/>
    <w:rsid w:val="002A3631"/>
    <w:rsid w:val="002E37A1"/>
    <w:rsid w:val="002E5A2A"/>
    <w:rsid w:val="002E7E5A"/>
    <w:rsid w:val="00300C58"/>
    <w:rsid w:val="003202AE"/>
    <w:rsid w:val="003209AF"/>
    <w:rsid w:val="00336253"/>
    <w:rsid w:val="003374E9"/>
    <w:rsid w:val="003412EF"/>
    <w:rsid w:val="00343262"/>
    <w:rsid w:val="003453E4"/>
    <w:rsid w:val="00354708"/>
    <w:rsid w:val="003571D3"/>
    <w:rsid w:val="003753AA"/>
    <w:rsid w:val="00375AD5"/>
    <w:rsid w:val="00393D8F"/>
    <w:rsid w:val="003C2B4C"/>
    <w:rsid w:val="003D0AC3"/>
    <w:rsid w:val="003D15EF"/>
    <w:rsid w:val="003D3633"/>
    <w:rsid w:val="003E4988"/>
    <w:rsid w:val="003E4B6B"/>
    <w:rsid w:val="003E68C5"/>
    <w:rsid w:val="003F52FA"/>
    <w:rsid w:val="00404FBF"/>
    <w:rsid w:val="004139CD"/>
    <w:rsid w:val="00417BF8"/>
    <w:rsid w:val="00421682"/>
    <w:rsid w:val="004229BF"/>
    <w:rsid w:val="00436024"/>
    <w:rsid w:val="0047024B"/>
    <w:rsid w:val="0048295D"/>
    <w:rsid w:val="00487566"/>
    <w:rsid w:val="004876DF"/>
    <w:rsid w:val="00493129"/>
    <w:rsid w:val="004A4F56"/>
    <w:rsid w:val="004B5A5E"/>
    <w:rsid w:val="004D0492"/>
    <w:rsid w:val="004D057D"/>
    <w:rsid w:val="004D6764"/>
    <w:rsid w:val="004F0462"/>
    <w:rsid w:val="004F287E"/>
    <w:rsid w:val="005075E6"/>
    <w:rsid w:val="0050774F"/>
    <w:rsid w:val="00521CB8"/>
    <w:rsid w:val="005223E6"/>
    <w:rsid w:val="00523094"/>
    <w:rsid w:val="005235BB"/>
    <w:rsid w:val="00525B40"/>
    <w:rsid w:val="00531ECC"/>
    <w:rsid w:val="00533BB9"/>
    <w:rsid w:val="00535FE7"/>
    <w:rsid w:val="005364D8"/>
    <w:rsid w:val="00542D25"/>
    <w:rsid w:val="00552A9C"/>
    <w:rsid w:val="00553705"/>
    <w:rsid w:val="00573060"/>
    <w:rsid w:val="00576258"/>
    <w:rsid w:val="00582707"/>
    <w:rsid w:val="005B6575"/>
    <w:rsid w:val="006104BF"/>
    <w:rsid w:val="006245CF"/>
    <w:rsid w:val="006277EE"/>
    <w:rsid w:val="006316B8"/>
    <w:rsid w:val="00634A5A"/>
    <w:rsid w:val="006438D4"/>
    <w:rsid w:val="006448F5"/>
    <w:rsid w:val="006529B7"/>
    <w:rsid w:val="00657979"/>
    <w:rsid w:val="00666F95"/>
    <w:rsid w:val="006802D2"/>
    <w:rsid w:val="00695CE4"/>
    <w:rsid w:val="00696DEF"/>
    <w:rsid w:val="006B6BC9"/>
    <w:rsid w:val="006B6F80"/>
    <w:rsid w:val="006C4BBF"/>
    <w:rsid w:val="006C7DD2"/>
    <w:rsid w:val="006F30BB"/>
    <w:rsid w:val="007128E6"/>
    <w:rsid w:val="00725852"/>
    <w:rsid w:val="00726B29"/>
    <w:rsid w:val="00732D06"/>
    <w:rsid w:val="007350E0"/>
    <w:rsid w:val="00753A1D"/>
    <w:rsid w:val="00763AC8"/>
    <w:rsid w:val="007749DD"/>
    <w:rsid w:val="007806EB"/>
    <w:rsid w:val="0079158C"/>
    <w:rsid w:val="007A5BE3"/>
    <w:rsid w:val="007A69C8"/>
    <w:rsid w:val="007A6E14"/>
    <w:rsid w:val="007B24A9"/>
    <w:rsid w:val="007C2636"/>
    <w:rsid w:val="007D64BD"/>
    <w:rsid w:val="00831D45"/>
    <w:rsid w:val="00846E5A"/>
    <w:rsid w:val="00853862"/>
    <w:rsid w:val="00854FCA"/>
    <w:rsid w:val="008560F0"/>
    <w:rsid w:val="0086727E"/>
    <w:rsid w:val="0088166C"/>
    <w:rsid w:val="008819B7"/>
    <w:rsid w:val="00882DDA"/>
    <w:rsid w:val="008901AE"/>
    <w:rsid w:val="00892EA9"/>
    <w:rsid w:val="00896348"/>
    <w:rsid w:val="008B555D"/>
    <w:rsid w:val="008D3643"/>
    <w:rsid w:val="008F0724"/>
    <w:rsid w:val="00904AAE"/>
    <w:rsid w:val="00905BF4"/>
    <w:rsid w:val="0091154C"/>
    <w:rsid w:val="00917BF0"/>
    <w:rsid w:val="0092530A"/>
    <w:rsid w:val="00933CCE"/>
    <w:rsid w:val="00936333"/>
    <w:rsid w:val="00940901"/>
    <w:rsid w:val="0094657B"/>
    <w:rsid w:val="009474CE"/>
    <w:rsid w:val="009612DD"/>
    <w:rsid w:val="009666C6"/>
    <w:rsid w:val="00971EA1"/>
    <w:rsid w:val="00973C58"/>
    <w:rsid w:val="00973D0A"/>
    <w:rsid w:val="00985DEB"/>
    <w:rsid w:val="009910B8"/>
    <w:rsid w:val="00995CCD"/>
    <w:rsid w:val="009A5FEC"/>
    <w:rsid w:val="009B289B"/>
    <w:rsid w:val="009C371D"/>
    <w:rsid w:val="009C739F"/>
    <w:rsid w:val="009D13E6"/>
    <w:rsid w:val="009D2EA3"/>
    <w:rsid w:val="009E1D7E"/>
    <w:rsid w:val="009E242A"/>
    <w:rsid w:val="009F4C3A"/>
    <w:rsid w:val="00A0073D"/>
    <w:rsid w:val="00A02C3C"/>
    <w:rsid w:val="00A055D9"/>
    <w:rsid w:val="00A16E07"/>
    <w:rsid w:val="00A17D89"/>
    <w:rsid w:val="00A31AB8"/>
    <w:rsid w:val="00A61DB3"/>
    <w:rsid w:val="00A66351"/>
    <w:rsid w:val="00A66D3F"/>
    <w:rsid w:val="00A67E94"/>
    <w:rsid w:val="00A85045"/>
    <w:rsid w:val="00A860FF"/>
    <w:rsid w:val="00A86B74"/>
    <w:rsid w:val="00A900EB"/>
    <w:rsid w:val="00A92B4E"/>
    <w:rsid w:val="00A9707B"/>
    <w:rsid w:val="00AA164F"/>
    <w:rsid w:val="00AA67D2"/>
    <w:rsid w:val="00AC02AB"/>
    <w:rsid w:val="00AC27E0"/>
    <w:rsid w:val="00AC5730"/>
    <w:rsid w:val="00AD079C"/>
    <w:rsid w:val="00AD2C4C"/>
    <w:rsid w:val="00AD46D8"/>
    <w:rsid w:val="00AD68F5"/>
    <w:rsid w:val="00AE2B70"/>
    <w:rsid w:val="00B019F4"/>
    <w:rsid w:val="00B062FE"/>
    <w:rsid w:val="00B348D3"/>
    <w:rsid w:val="00B34A2C"/>
    <w:rsid w:val="00B4226B"/>
    <w:rsid w:val="00B42D69"/>
    <w:rsid w:val="00B454D5"/>
    <w:rsid w:val="00B5169A"/>
    <w:rsid w:val="00B6140F"/>
    <w:rsid w:val="00B67DDD"/>
    <w:rsid w:val="00B70913"/>
    <w:rsid w:val="00B73FFB"/>
    <w:rsid w:val="00B80F17"/>
    <w:rsid w:val="00B8206B"/>
    <w:rsid w:val="00B863D1"/>
    <w:rsid w:val="00B87A97"/>
    <w:rsid w:val="00BB267D"/>
    <w:rsid w:val="00BB57CA"/>
    <w:rsid w:val="00BC6D7A"/>
    <w:rsid w:val="00BD0364"/>
    <w:rsid w:val="00BD430C"/>
    <w:rsid w:val="00BF64E6"/>
    <w:rsid w:val="00C011C5"/>
    <w:rsid w:val="00C07995"/>
    <w:rsid w:val="00C16C96"/>
    <w:rsid w:val="00C203CD"/>
    <w:rsid w:val="00C24B09"/>
    <w:rsid w:val="00C2688B"/>
    <w:rsid w:val="00C2689C"/>
    <w:rsid w:val="00C33094"/>
    <w:rsid w:val="00C34A6B"/>
    <w:rsid w:val="00C55DEA"/>
    <w:rsid w:val="00C63B69"/>
    <w:rsid w:val="00C67C97"/>
    <w:rsid w:val="00C77464"/>
    <w:rsid w:val="00C779C3"/>
    <w:rsid w:val="00C81C5D"/>
    <w:rsid w:val="00C91092"/>
    <w:rsid w:val="00C937D0"/>
    <w:rsid w:val="00CA2060"/>
    <w:rsid w:val="00CB0C81"/>
    <w:rsid w:val="00CD5005"/>
    <w:rsid w:val="00CD59FD"/>
    <w:rsid w:val="00CF5475"/>
    <w:rsid w:val="00CF606A"/>
    <w:rsid w:val="00D033FF"/>
    <w:rsid w:val="00D117F4"/>
    <w:rsid w:val="00D1402C"/>
    <w:rsid w:val="00D179A0"/>
    <w:rsid w:val="00D20010"/>
    <w:rsid w:val="00D204DE"/>
    <w:rsid w:val="00D2738C"/>
    <w:rsid w:val="00D31161"/>
    <w:rsid w:val="00D3116D"/>
    <w:rsid w:val="00D348B1"/>
    <w:rsid w:val="00D47A50"/>
    <w:rsid w:val="00D501AA"/>
    <w:rsid w:val="00D547F1"/>
    <w:rsid w:val="00D55EED"/>
    <w:rsid w:val="00D67F61"/>
    <w:rsid w:val="00D703C4"/>
    <w:rsid w:val="00D7123B"/>
    <w:rsid w:val="00D73726"/>
    <w:rsid w:val="00D73AE5"/>
    <w:rsid w:val="00D8094E"/>
    <w:rsid w:val="00D81695"/>
    <w:rsid w:val="00D84356"/>
    <w:rsid w:val="00D912C0"/>
    <w:rsid w:val="00D94F2F"/>
    <w:rsid w:val="00D96894"/>
    <w:rsid w:val="00DC1AA9"/>
    <w:rsid w:val="00DE2AFB"/>
    <w:rsid w:val="00DE2D1C"/>
    <w:rsid w:val="00E0558C"/>
    <w:rsid w:val="00E07710"/>
    <w:rsid w:val="00E12A71"/>
    <w:rsid w:val="00E16342"/>
    <w:rsid w:val="00E24311"/>
    <w:rsid w:val="00E32BD8"/>
    <w:rsid w:val="00E3578F"/>
    <w:rsid w:val="00E63723"/>
    <w:rsid w:val="00E70A22"/>
    <w:rsid w:val="00E7522D"/>
    <w:rsid w:val="00E75EEC"/>
    <w:rsid w:val="00E84704"/>
    <w:rsid w:val="00E9121C"/>
    <w:rsid w:val="00E9400F"/>
    <w:rsid w:val="00EA0667"/>
    <w:rsid w:val="00EA0981"/>
    <w:rsid w:val="00EA44F5"/>
    <w:rsid w:val="00EB484C"/>
    <w:rsid w:val="00EB7EA5"/>
    <w:rsid w:val="00EC3157"/>
    <w:rsid w:val="00ED1D8C"/>
    <w:rsid w:val="00ED3540"/>
    <w:rsid w:val="00EE58C1"/>
    <w:rsid w:val="00EE7087"/>
    <w:rsid w:val="00F0309F"/>
    <w:rsid w:val="00F12073"/>
    <w:rsid w:val="00F233EB"/>
    <w:rsid w:val="00F26668"/>
    <w:rsid w:val="00F50A18"/>
    <w:rsid w:val="00F54F52"/>
    <w:rsid w:val="00F604F2"/>
    <w:rsid w:val="00F6329B"/>
    <w:rsid w:val="00F93FFE"/>
    <w:rsid w:val="00F94240"/>
    <w:rsid w:val="00FB623E"/>
    <w:rsid w:val="00FD00A0"/>
    <w:rsid w:val="00FD0FF4"/>
    <w:rsid w:val="00FD1062"/>
    <w:rsid w:val="00FD2467"/>
    <w:rsid w:val="00FD3462"/>
    <w:rsid w:val="00FD73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0B4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30A"/>
    <w:rPr>
      <w:rFonts w:eastAsiaTheme="minorEastAsia"/>
    </w:rPr>
  </w:style>
  <w:style w:type="paragraph" w:styleId="Heading1">
    <w:name w:val="heading 1"/>
    <w:basedOn w:val="Normal"/>
    <w:next w:val="Normal"/>
    <w:link w:val="Heading1Char"/>
    <w:uiPriority w:val="9"/>
    <w:qFormat/>
    <w:rsid w:val="0033625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3625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612D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530A"/>
    <w:rPr>
      <w:color w:val="0000FF" w:themeColor="hyperlink"/>
      <w:u w:val="single"/>
    </w:rPr>
  </w:style>
  <w:style w:type="table" w:styleId="TableGrid">
    <w:name w:val="Table Grid"/>
    <w:basedOn w:val="TableNormal"/>
    <w:uiPriority w:val="59"/>
    <w:rsid w:val="0092530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253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30A"/>
    <w:rPr>
      <w:rFonts w:ascii="Tahoma" w:eastAsiaTheme="minorEastAsia" w:hAnsi="Tahoma" w:cs="Tahoma"/>
      <w:sz w:val="16"/>
      <w:szCs w:val="16"/>
    </w:rPr>
  </w:style>
  <w:style w:type="character" w:styleId="CommentReference">
    <w:name w:val="annotation reference"/>
    <w:basedOn w:val="DefaultParagraphFont"/>
    <w:uiPriority w:val="99"/>
    <w:semiHidden/>
    <w:unhideWhenUsed/>
    <w:rsid w:val="00B73FFB"/>
    <w:rPr>
      <w:sz w:val="16"/>
      <w:szCs w:val="16"/>
    </w:rPr>
  </w:style>
  <w:style w:type="paragraph" w:styleId="CommentText">
    <w:name w:val="annotation text"/>
    <w:basedOn w:val="Normal"/>
    <w:link w:val="CommentTextChar"/>
    <w:uiPriority w:val="99"/>
    <w:semiHidden/>
    <w:unhideWhenUsed/>
    <w:rsid w:val="00B73FFB"/>
    <w:pPr>
      <w:spacing w:line="240" w:lineRule="auto"/>
    </w:pPr>
    <w:rPr>
      <w:sz w:val="20"/>
      <w:szCs w:val="20"/>
    </w:rPr>
  </w:style>
  <w:style w:type="character" w:customStyle="1" w:styleId="CommentTextChar">
    <w:name w:val="Comment Text Char"/>
    <w:basedOn w:val="DefaultParagraphFont"/>
    <w:link w:val="CommentText"/>
    <w:uiPriority w:val="99"/>
    <w:semiHidden/>
    <w:rsid w:val="00B73FF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B73FFB"/>
    <w:rPr>
      <w:b/>
      <w:bCs/>
    </w:rPr>
  </w:style>
  <w:style w:type="character" w:customStyle="1" w:styleId="CommentSubjectChar">
    <w:name w:val="Comment Subject Char"/>
    <w:basedOn w:val="CommentTextChar"/>
    <w:link w:val="CommentSubject"/>
    <w:uiPriority w:val="99"/>
    <w:semiHidden/>
    <w:rsid w:val="00B73FFB"/>
    <w:rPr>
      <w:rFonts w:eastAsiaTheme="minorEastAsia"/>
      <w:b/>
      <w:bCs/>
      <w:sz w:val="20"/>
      <w:szCs w:val="20"/>
    </w:rPr>
  </w:style>
  <w:style w:type="character" w:styleId="LineNumber">
    <w:name w:val="line number"/>
    <w:basedOn w:val="DefaultParagraphFont"/>
    <w:uiPriority w:val="99"/>
    <w:semiHidden/>
    <w:unhideWhenUsed/>
    <w:rsid w:val="00940901"/>
  </w:style>
  <w:style w:type="paragraph" w:styleId="ListParagraph">
    <w:name w:val="List Paragraph"/>
    <w:basedOn w:val="Normal"/>
    <w:uiPriority w:val="34"/>
    <w:qFormat/>
    <w:rsid w:val="00576258"/>
    <w:pPr>
      <w:ind w:left="720"/>
      <w:contextualSpacing/>
    </w:pPr>
  </w:style>
  <w:style w:type="character" w:styleId="Strong">
    <w:name w:val="Strong"/>
    <w:basedOn w:val="DefaultParagraphFont"/>
    <w:uiPriority w:val="22"/>
    <w:qFormat/>
    <w:rsid w:val="00BF64E6"/>
    <w:rPr>
      <w:b/>
      <w:bCs/>
    </w:rPr>
  </w:style>
  <w:style w:type="paragraph" w:styleId="Header">
    <w:name w:val="header"/>
    <w:basedOn w:val="Normal"/>
    <w:link w:val="HeaderChar"/>
    <w:uiPriority w:val="99"/>
    <w:unhideWhenUsed/>
    <w:rsid w:val="00696DEF"/>
    <w:pPr>
      <w:tabs>
        <w:tab w:val="center" w:pos="4320"/>
        <w:tab w:val="right" w:pos="8640"/>
      </w:tabs>
      <w:spacing w:after="0" w:line="240" w:lineRule="auto"/>
    </w:pPr>
  </w:style>
  <w:style w:type="character" w:customStyle="1" w:styleId="HeaderChar">
    <w:name w:val="Header Char"/>
    <w:basedOn w:val="DefaultParagraphFont"/>
    <w:link w:val="Header"/>
    <w:uiPriority w:val="99"/>
    <w:rsid w:val="00696DEF"/>
    <w:rPr>
      <w:rFonts w:eastAsiaTheme="minorEastAsia"/>
    </w:rPr>
  </w:style>
  <w:style w:type="paragraph" w:styleId="Footer">
    <w:name w:val="footer"/>
    <w:basedOn w:val="Normal"/>
    <w:link w:val="FooterChar"/>
    <w:uiPriority w:val="99"/>
    <w:unhideWhenUsed/>
    <w:rsid w:val="00696DEF"/>
    <w:pPr>
      <w:tabs>
        <w:tab w:val="center" w:pos="4320"/>
        <w:tab w:val="right" w:pos="8640"/>
      </w:tabs>
      <w:spacing w:after="0" w:line="240" w:lineRule="auto"/>
    </w:pPr>
  </w:style>
  <w:style w:type="character" w:customStyle="1" w:styleId="FooterChar">
    <w:name w:val="Footer Char"/>
    <w:basedOn w:val="DefaultParagraphFont"/>
    <w:link w:val="Footer"/>
    <w:uiPriority w:val="99"/>
    <w:rsid w:val="00696DEF"/>
    <w:rPr>
      <w:rFonts w:eastAsiaTheme="minorEastAsia"/>
    </w:rPr>
  </w:style>
  <w:style w:type="character" w:customStyle="1" w:styleId="UnresolvedMention1">
    <w:name w:val="Unresolved Mention1"/>
    <w:basedOn w:val="DefaultParagraphFont"/>
    <w:uiPriority w:val="99"/>
    <w:semiHidden/>
    <w:unhideWhenUsed/>
    <w:rsid w:val="00AD2C4C"/>
    <w:rPr>
      <w:color w:val="605E5C"/>
      <w:shd w:val="clear" w:color="auto" w:fill="E1DFDD"/>
    </w:rPr>
  </w:style>
  <w:style w:type="character" w:customStyle="1" w:styleId="Heading1Char">
    <w:name w:val="Heading 1 Char"/>
    <w:basedOn w:val="DefaultParagraphFont"/>
    <w:link w:val="Heading1"/>
    <w:uiPriority w:val="9"/>
    <w:rsid w:val="0033625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336253"/>
    <w:rPr>
      <w:rFonts w:asciiTheme="majorHAnsi" w:eastAsiaTheme="majorEastAsia" w:hAnsiTheme="majorHAnsi" w:cstheme="majorBidi"/>
      <w:color w:val="365F91" w:themeColor="accent1" w:themeShade="BF"/>
      <w:sz w:val="26"/>
      <w:szCs w:val="26"/>
    </w:rPr>
  </w:style>
  <w:style w:type="character" w:styleId="PlaceholderText">
    <w:name w:val="Placeholder Text"/>
    <w:basedOn w:val="DefaultParagraphFont"/>
    <w:uiPriority w:val="99"/>
    <w:semiHidden/>
    <w:rsid w:val="00A67E94"/>
    <w:rPr>
      <w:color w:val="808080"/>
    </w:rPr>
  </w:style>
  <w:style w:type="character" w:customStyle="1" w:styleId="Heading3Char">
    <w:name w:val="Heading 3 Char"/>
    <w:basedOn w:val="DefaultParagraphFont"/>
    <w:link w:val="Heading3"/>
    <w:uiPriority w:val="9"/>
    <w:semiHidden/>
    <w:rsid w:val="009612DD"/>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1A0DE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30A"/>
    <w:rPr>
      <w:rFonts w:eastAsiaTheme="minorEastAsia"/>
    </w:rPr>
  </w:style>
  <w:style w:type="paragraph" w:styleId="Heading1">
    <w:name w:val="heading 1"/>
    <w:basedOn w:val="Normal"/>
    <w:next w:val="Normal"/>
    <w:link w:val="Heading1Char"/>
    <w:uiPriority w:val="9"/>
    <w:qFormat/>
    <w:rsid w:val="0033625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3625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612D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530A"/>
    <w:rPr>
      <w:color w:val="0000FF" w:themeColor="hyperlink"/>
      <w:u w:val="single"/>
    </w:rPr>
  </w:style>
  <w:style w:type="table" w:styleId="TableGrid">
    <w:name w:val="Table Grid"/>
    <w:basedOn w:val="TableNormal"/>
    <w:uiPriority w:val="59"/>
    <w:rsid w:val="0092530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253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30A"/>
    <w:rPr>
      <w:rFonts w:ascii="Tahoma" w:eastAsiaTheme="minorEastAsia" w:hAnsi="Tahoma" w:cs="Tahoma"/>
      <w:sz w:val="16"/>
      <w:szCs w:val="16"/>
    </w:rPr>
  </w:style>
  <w:style w:type="character" w:styleId="CommentReference">
    <w:name w:val="annotation reference"/>
    <w:basedOn w:val="DefaultParagraphFont"/>
    <w:uiPriority w:val="99"/>
    <w:semiHidden/>
    <w:unhideWhenUsed/>
    <w:rsid w:val="00B73FFB"/>
    <w:rPr>
      <w:sz w:val="16"/>
      <w:szCs w:val="16"/>
    </w:rPr>
  </w:style>
  <w:style w:type="paragraph" w:styleId="CommentText">
    <w:name w:val="annotation text"/>
    <w:basedOn w:val="Normal"/>
    <w:link w:val="CommentTextChar"/>
    <w:uiPriority w:val="99"/>
    <w:semiHidden/>
    <w:unhideWhenUsed/>
    <w:rsid w:val="00B73FFB"/>
    <w:pPr>
      <w:spacing w:line="240" w:lineRule="auto"/>
    </w:pPr>
    <w:rPr>
      <w:sz w:val="20"/>
      <w:szCs w:val="20"/>
    </w:rPr>
  </w:style>
  <w:style w:type="character" w:customStyle="1" w:styleId="CommentTextChar">
    <w:name w:val="Comment Text Char"/>
    <w:basedOn w:val="DefaultParagraphFont"/>
    <w:link w:val="CommentText"/>
    <w:uiPriority w:val="99"/>
    <w:semiHidden/>
    <w:rsid w:val="00B73FF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B73FFB"/>
    <w:rPr>
      <w:b/>
      <w:bCs/>
    </w:rPr>
  </w:style>
  <w:style w:type="character" w:customStyle="1" w:styleId="CommentSubjectChar">
    <w:name w:val="Comment Subject Char"/>
    <w:basedOn w:val="CommentTextChar"/>
    <w:link w:val="CommentSubject"/>
    <w:uiPriority w:val="99"/>
    <w:semiHidden/>
    <w:rsid w:val="00B73FFB"/>
    <w:rPr>
      <w:rFonts w:eastAsiaTheme="minorEastAsia"/>
      <w:b/>
      <w:bCs/>
      <w:sz w:val="20"/>
      <w:szCs w:val="20"/>
    </w:rPr>
  </w:style>
  <w:style w:type="character" w:styleId="LineNumber">
    <w:name w:val="line number"/>
    <w:basedOn w:val="DefaultParagraphFont"/>
    <w:uiPriority w:val="99"/>
    <w:semiHidden/>
    <w:unhideWhenUsed/>
    <w:rsid w:val="00940901"/>
  </w:style>
  <w:style w:type="paragraph" w:styleId="ListParagraph">
    <w:name w:val="List Paragraph"/>
    <w:basedOn w:val="Normal"/>
    <w:uiPriority w:val="34"/>
    <w:qFormat/>
    <w:rsid w:val="00576258"/>
    <w:pPr>
      <w:ind w:left="720"/>
      <w:contextualSpacing/>
    </w:pPr>
  </w:style>
  <w:style w:type="character" w:styleId="Strong">
    <w:name w:val="Strong"/>
    <w:basedOn w:val="DefaultParagraphFont"/>
    <w:uiPriority w:val="22"/>
    <w:qFormat/>
    <w:rsid w:val="00BF64E6"/>
    <w:rPr>
      <w:b/>
      <w:bCs/>
    </w:rPr>
  </w:style>
  <w:style w:type="paragraph" w:styleId="Header">
    <w:name w:val="header"/>
    <w:basedOn w:val="Normal"/>
    <w:link w:val="HeaderChar"/>
    <w:uiPriority w:val="99"/>
    <w:unhideWhenUsed/>
    <w:rsid w:val="00696DEF"/>
    <w:pPr>
      <w:tabs>
        <w:tab w:val="center" w:pos="4320"/>
        <w:tab w:val="right" w:pos="8640"/>
      </w:tabs>
      <w:spacing w:after="0" w:line="240" w:lineRule="auto"/>
    </w:pPr>
  </w:style>
  <w:style w:type="character" w:customStyle="1" w:styleId="HeaderChar">
    <w:name w:val="Header Char"/>
    <w:basedOn w:val="DefaultParagraphFont"/>
    <w:link w:val="Header"/>
    <w:uiPriority w:val="99"/>
    <w:rsid w:val="00696DEF"/>
    <w:rPr>
      <w:rFonts w:eastAsiaTheme="minorEastAsia"/>
    </w:rPr>
  </w:style>
  <w:style w:type="paragraph" w:styleId="Footer">
    <w:name w:val="footer"/>
    <w:basedOn w:val="Normal"/>
    <w:link w:val="FooterChar"/>
    <w:uiPriority w:val="99"/>
    <w:unhideWhenUsed/>
    <w:rsid w:val="00696DEF"/>
    <w:pPr>
      <w:tabs>
        <w:tab w:val="center" w:pos="4320"/>
        <w:tab w:val="right" w:pos="8640"/>
      </w:tabs>
      <w:spacing w:after="0" w:line="240" w:lineRule="auto"/>
    </w:pPr>
  </w:style>
  <w:style w:type="character" w:customStyle="1" w:styleId="FooterChar">
    <w:name w:val="Footer Char"/>
    <w:basedOn w:val="DefaultParagraphFont"/>
    <w:link w:val="Footer"/>
    <w:uiPriority w:val="99"/>
    <w:rsid w:val="00696DEF"/>
    <w:rPr>
      <w:rFonts w:eastAsiaTheme="minorEastAsia"/>
    </w:rPr>
  </w:style>
  <w:style w:type="character" w:customStyle="1" w:styleId="UnresolvedMention1">
    <w:name w:val="Unresolved Mention1"/>
    <w:basedOn w:val="DefaultParagraphFont"/>
    <w:uiPriority w:val="99"/>
    <w:semiHidden/>
    <w:unhideWhenUsed/>
    <w:rsid w:val="00AD2C4C"/>
    <w:rPr>
      <w:color w:val="605E5C"/>
      <w:shd w:val="clear" w:color="auto" w:fill="E1DFDD"/>
    </w:rPr>
  </w:style>
  <w:style w:type="character" w:customStyle="1" w:styleId="Heading1Char">
    <w:name w:val="Heading 1 Char"/>
    <w:basedOn w:val="DefaultParagraphFont"/>
    <w:link w:val="Heading1"/>
    <w:uiPriority w:val="9"/>
    <w:rsid w:val="0033625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336253"/>
    <w:rPr>
      <w:rFonts w:asciiTheme="majorHAnsi" w:eastAsiaTheme="majorEastAsia" w:hAnsiTheme="majorHAnsi" w:cstheme="majorBidi"/>
      <w:color w:val="365F91" w:themeColor="accent1" w:themeShade="BF"/>
      <w:sz w:val="26"/>
      <w:szCs w:val="26"/>
    </w:rPr>
  </w:style>
  <w:style w:type="character" w:styleId="PlaceholderText">
    <w:name w:val="Placeholder Text"/>
    <w:basedOn w:val="DefaultParagraphFont"/>
    <w:uiPriority w:val="99"/>
    <w:semiHidden/>
    <w:rsid w:val="00A67E94"/>
    <w:rPr>
      <w:color w:val="808080"/>
    </w:rPr>
  </w:style>
  <w:style w:type="character" w:customStyle="1" w:styleId="Heading3Char">
    <w:name w:val="Heading 3 Char"/>
    <w:basedOn w:val="DefaultParagraphFont"/>
    <w:link w:val="Heading3"/>
    <w:uiPriority w:val="9"/>
    <w:semiHidden/>
    <w:rsid w:val="009612DD"/>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1A0D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013519">
      <w:bodyDiv w:val="1"/>
      <w:marLeft w:val="0"/>
      <w:marRight w:val="0"/>
      <w:marTop w:val="0"/>
      <w:marBottom w:val="0"/>
      <w:divBdr>
        <w:top w:val="none" w:sz="0" w:space="0" w:color="auto"/>
        <w:left w:val="none" w:sz="0" w:space="0" w:color="auto"/>
        <w:bottom w:val="none" w:sz="0" w:space="0" w:color="auto"/>
        <w:right w:val="none" w:sz="0" w:space="0" w:color="auto"/>
      </w:divBdr>
    </w:div>
    <w:div w:id="436607529">
      <w:bodyDiv w:val="1"/>
      <w:marLeft w:val="0"/>
      <w:marRight w:val="0"/>
      <w:marTop w:val="0"/>
      <w:marBottom w:val="0"/>
      <w:divBdr>
        <w:top w:val="none" w:sz="0" w:space="0" w:color="auto"/>
        <w:left w:val="none" w:sz="0" w:space="0" w:color="auto"/>
        <w:bottom w:val="none" w:sz="0" w:space="0" w:color="auto"/>
        <w:right w:val="none" w:sz="0" w:space="0" w:color="auto"/>
      </w:divBdr>
    </w:div>
    <w:div w:id="445780916">
      <w:bodyDiv w:val="1"/>
      <w:marLeft w:val="0"/>
      <w:marRight w:val="0"/>
      <w:marTop w:val="0"/>
      <w:marBottom w:val="0"/>
      <w:divBdr>
        <w:top w:val="none" w:sz="0" w:space="0" w:color="auto"/>
        <w:left w:val="none" w:sz="0" w:space="0" w:color="auto"/>
        <w:bottom w:val="none" w:sz="0" w:space="0" w:color="auto"/>
        <w:right w:val="none" w:sz="0" w:space="0" w:color="auto"/>
      </w:divBdr>
      <w:divsChild>
        <w:div w:id="1946644399">
          <w:marLeft w:val="547"/>
          <w:marRight w:val="0"/>
          <w:marTop w:val="0"/>
          <w:marBottom w:val="0"/>
          <w:divBdr>
            <w:top w:val="none" w:sz="0" w:space="0" w:color="auto"/>
            <w:left w:val="none" w:sz="0" w:space="0" w:color="auto"/>
            <w:bottom w:val="none" w:sz="0" w:space="0" w:color="auto"/>
            <w:right w:val="none" w:sz="0" w:space="0" w:color="auto"/>
          </w:divBdr>
        </w:div>
        <w:div w:id="1616516704">
          <w:marLeft w:val="1166"/>
          <w:marRight w:val="0"/>
          <w:marTop w:val="0"/>
          <w:marBottom w:val="0"/>
          <w:divBdr>
            <w:top w:val="none" w:sz="0" w:space="0" w:color="auto"/>
            <w:left w:val="none" w:sz="0" w:space="0" w:color="auto"/>
            <w:bottom w:val="none" w:sz="0" w:space="0" w:color="auto"/>
            <w:right w:val="none" w:sz="0" w:space="0" w:color="auto"/>
          </w:divBdr>
        </w:div>
        <w:div w:id="373703448">
          <w:marLeft w:val="547"/>
          <w:marRight w:val="0"/>
          <w:marTop w:val="0"/>
          <w:marBottom w:val="0"/>
          <w:divBdr>
            <w:top w:val="none" w:sz="0" w:space="0" w:color="auto"/>
            <w:left w:val="none" w:sz="0" w:space="0" w:color="auto"/>
            <w:bottom w:val="none" w:sz="0" w:space="0" w:color="auto"/>
            <w:right w:val="none" w:sz="0" w:space="0" w:color="auto"/>
          </w:divBdr>
        </w:div>
        <w:div w:id="1490555298">
          <w:marLeft w:val="1166"/>
          <w:marRight w:val="0"/>
          <w:marTop w:val="0"/>
          <w:marBottom w:val="0"/>
          <w:divBdr>
            <w:top w:val="none" w:sz="0" w:space="0" w:color="auto"/>
            <w:left w:val="none" w:sz="0" w:space="0" w:color="auto"/>
            <w:bottom w:val="none" w:sz="0" w:space="0" w:color="auto"/>
            <w:right w:val="none" w:sz="0" w:space="0" w:color="auto"/>
          </w:divBdr>
        </w:div>
        <w:div w:id="1293943502">
          <w:marLeft w:val="547"/>
          <w:marRight w:val="0"/>
          <w:marTop w:val="0"/>
          <w:marBottom w:val="0"/>
          <w:divBdr>
            <w:top w:val="none" w:sz="0" w:space="0" w:color="auto"/>
            <w:left w:val="none" w:sz="0" w:space="0" w:color="auto"/>
            <w:bottom w:val="none" w:sz="0" w:space="0" w:color="auto"/>
            <w:right w:val="none" w:sz="0" w:space="0" w:color="auto"/>
          </w:divBdr>
        </w:div>
        <w:div w:id="864558470">
          <w:marLeft w:val="1166"/>
          <w:marRight w:val="0"/>
          <w:marTop w:val="0"/>
          <w:marBottom w:val="0"/>
          <w:divBdr>
            <w:top w:val="none" w:sz="0" w:space="0" w:color="auto"/>
            <w:left w:val="none" w:sz="0" w:space="0" w:color="auto"/>
            <w:bottom w:val="none" w:sz="0" w:space="0" w:color="auto"/>
            <w:right w:val="none" w:sz="0" w:space="0" w:color="auto"/>
          </w:divBdr>
        </w:div>
        <w:div w:id="1646475041">
          <w:marLeft w:val="1166"/>
          <w:marRight w:val="0"/>
          <w:marTop w:val="0"/>
          <w:marBottom w:val="0"/>
          <w:divBdr>
            <w:top w:val="none" w:sz="0" w:space="0" w:color="auto"/>
            <w:left w:val="none" w:sz="0" w:space="0" w:color="auto"/>
            <w:bottom w:val="none" w:sz="0" w:space="0" w:color="auto"/>
            <w:right w:val="none" w:sz="0" w:space="0" w:color="auto"/>
          </w:divBdr>
        </w:div>
        <w:div w:id="1396782967">
          <w:marLeft w:val="1166"/>
          <w:marRight w:val="0"/>
          <w:marTop w:val="0"/>
          <w:marBottom w:val="0"/>
          <w:divBdr>
            <w:top w:val="none" w:sz="0" w:space="0" w:color="auto"/>
            <w:left w:val="none" w:sz="0" w:space="0" w:color="auto"/>
            <w:bottom w:val="none" w:sz="0" w:space="0" w:color="auto"/>
            <w:right w:val="none" w:sz="0" w:space="0" w:color="auto"/>
          </w:divBdr>
        </w:div>
        <w:div w:id="312150163">
          <w:marLeft w:val="547"/>
          <w:marRight w:val="0"/>
          <w:marTop w:val="0"/>
          <w:marBottom w:val="0"/>
          <w:divBdr>
            <w:top w:val="none" w:sz="0" w:space="0" w:color="auto"/>
            <w:left w:val="none" w:sz="0" w:space="0" w:color="auto"/>
            <w:bottom w:val="none" w:sz="0" w:space="0" w:color="auto"/>
            <w:right w:val="none" w:sz="0" w:space="0" w:color="auto"/>
          </w:divBdr>
        </w:div>
        <w:div w:id="2077436602">
          <w:marLeft w:val="1166"/>
          <w:marRight w:val="0"/>
          <w:marTop w:val="0"/>
          <w:marBottom w:val="0"/>
          <w:divBdr>
            <w:top w:val="none" w:sz="0" w:space="0" w:color="auto"/>
            <w:left w:val="none" w:sz="0" w:space="0" w:color="auto"/>
            <w:bottom w:val="none" w:sz="0" w:space="0" w:color="auto"/>
            <w:right w:val="none" w:sz="0" w:space="0" w:color="auto"/>
          </w:divBdr>
        </w:div>
        <w:div w:id="1543790866">
          <w:marLeft w:val="1166"/>
          <w:marRight w:val="0"/>
          <w:marTop w:val="0"/>
          <w:marBottom w:val="0"/>
          <w:divBdr>
            <w:top w:val="none" w:sz="0" w:space="0" w:color="auto"/>
            <w:left w:val="none" w:sz="0" w:space="0" w:color="auto"/>
            <w:bottom w:val="none" w:sz="0" w:space="0" w:color="auto"/>
            <w:right w:val="none" w:sz="0" w:space="0" w:color="auto"/>
          </w:divBdr>
        </w:div>
        <w:div w:id="1994290826">
          <w:marLeft w:val="1166"/>
          <w:marRight w:val="0"/>
          <w:marTop w:val="0"/>
          <w:marBottom w:val="0"/>
          <w:divBdr>
            <w:top w:val="none" w:sz="0" w:space="0" w:color="auto"/>
            <w:left w:val="none" w:sz="0" w:space="0" w:color="auto"/>
            <w:bottom w:val="none" w:sz="0" w:space="0" w:color="auto"/>
            <w:right w:val="none" w:sz="0" w:space="0" w:color="auto"/>
          </w:divBdr>
        </w:div>
        <w:div w:id="283923128">
          <w:marLeft w:val="547"/>
          <w:marRight w:val="0"/>
          <w:marTop w:val="0"/>
          <w:marBottom w:val="0"/>
          <w:divBdr>
            <w:top w:val="none" w:sz="0" w:space="0" w:color="auto"/>
            <w:left w:val="none" w:sz="0" w:space="0" w:color="auto"/>
            <w:bottom w:val="none" w:sz="0" w:space="0" w:color="auto"/>
            <w:right w:val="none" w:sz="0" w:space="0" w:color="auto"/>
          </w:divBdr>
        </w:div>
        <w:div w:id="1565875663">
          <w:marLeft w:val="1166"/>
          <w:marRight w:val="0"/>
          <w:marTop w:val="0"/>
          <w:marBottom w:val="0"/>
          <w:divBdr>
            <w:top w:val="none" w:sz="0" w:space="0" w:color="auto"/>
            <w:left w:val="none" w:sz="0" w:space="0" w:color="auto"/>
            <w:bottom w:val="none" w:sz="0" w:space="0" w:color="auto"/>
            <w:right w:val="none" w:sz="0" w:space="0" w:color="auto"/>
          </w:divBdr>
        </w:div>
        <w:div w:id="923606967">
          <w:marLeft w:val="1166"/>
          <w:marRight w:val="0"/>
          <w:marTop w:val="0"/>
          <w:marBottom w:val="0"/>
          <w:divBdr>
            <w:top w:val="none" w:sz="0" w:space="0" w:color="auto"/>
            <w:left w:val="none" w:sz="0" w:space="0" w:color="auto"/>
            <w:bottom w:val="none" w:sz="0" w:space="0" w:color="auto"/>
            <w:right w:val="none" w:sz="0" w:space="0" w:color="auto"/>
          </w:divBdr>
        </w:div>
        <w:div w:id="122582772">
          <w:marLeft w:val="1166"/>
          <w:marRight w:val="0"/>
          <w:marTop w:val="0"/>
          <w:marBottom w:val="0"/>
          <w:divBdr>
            <w:top w:val="none" w:sz="0" w:space="0" w:color="auto"/>
            <w:left w:val="none" w:sz="0" w:space="0" w:color="auto"/>
            <w:bottom w:val="none" w:sz="0" w:space="0" w:color="auto"/>
            <w:right w:val="none" w:sz="0" w:space="0" w:color="auto"/>
          </w:divBdr>
        </w:div>
      </w:divsChild>
    </w:div>
    <w:div w:id="553582739">
      <w:bodyDiv w:val="1"/>
      <w:marLeft w:val="0"/>
      <w:marRight w:val="0"/>
      <w:marTop w:val="0"/>
      <w:marBottom w:val="0"/>
      <w:divBdr>
        <w:top w:val="none" w:sz="0" w:space="0" w:color="auto"/>
        <w:left w:val="none" w:sz="0" w:space="0" w:color="auto"/>
        <w:bottom w:val="none" w:sz="0" w:space="0" w:color="auto"/>
        <w:right w:val="none" w:sz="0" w:space="0" w:color="auto"/>
      </w:divBdr>
    </w:div>
    <w:div w:id="599948949">
      <w:bodyDiv w:val="1"/>
      <w:marLeft w:val="0"/>
      <w:marRight w:val="0"/>
      <w:marTop w:val="0"/>
      <w:marBottom w:val="0"/>
      <w:divBdr>
        <w:top w:val="none" w:sz="0" w:space="0" w:color="auto"/>
        <w:left w:val="none" w:sz="0" w:space="0" w:color="auto"/>
        <w:bottom w:val="none" w:sz="0" w:space="0" w:color="auto"/>
        <w:right w:val="none" w:sz="0" w:space="0" w:color="auto"/>
      </w:divBdr>
    </w:div>
    <w:div w:id="614361981">
      <w:bodyDiv w:val="1"/>
      <w:marLeft w:val="0"/>
      <w:marRight w:val="0"/>
      <w:marTop w:val="0"/>
      <w:marBottom w:val="0"/>
      <w:divBdr>
        <w:top w:val="none" w:sz="0" w:space="0" w:color="auto"/>
        <w:left w:val="none" w:sz="0" w:space="0" w:color="auto"/>
        <w:bottom w:val="none" w:sz="0" w:space="0" w:color="auto"/>
        <w:right w:val="none" w:sz="0" w:space="0" w:color="auto"/>
      </w:divBdr>
    </w:div>
    <w:div w:id="972519031">
      <w:bodyDiv w:val="1"/>
      <w:marLeft w:val="0"/>
      <w:marRight w:val="0"/>
      <w:marTop w:val="0"/>
      <w:marBottom w:val="0"/>
      <w:divBdr>
        <w:top w:val="none" w:sz="0" w:space="0" w:color="auto"/>
        <w:left w:val="none" w:sz="0" w:space="0" w:color="auto"/>
        <w:bottom w:val="none" w:sz="0" w:space="0" w:color="auto"/>
        <w:right w:val="none" w:sz="0" w:space="0" w:color="auto"/>
      </w:divBdr>
    </w:div>
    <w:div w:id="1229074285">
      <w:bodyDiv w:val="1"/>
      <w:marLeft w:val="0"/>
      <w:marRight w:val="0"/>
      <w:marTop w:val="0"/>
      <w:marBottom w:val="0"/>
      <w:divBdr>
        <w:top w:val="none" w:sz="0" w:space="0" w:color="auto"/>
        <w:left w:val="none" w:sz="0" w:space="0" w:color="auto"/>
        <w:bottom w:val="none" w:sz="0" w:space="0" w:color="auto"/>
        <w:right w:val="none" w:sz="0" w:space="0" w:color="auto"/>
      </w:divBdr>
    </w:div>
    <w:div w:id="1572735662">
      <w:bodyDiv w:val="1"/>
      <w:marLeft w:val="0"/>
      <w:marRight w:val="0"/>
      <w:marTop w:val="0"/>
      <w:marBottom w:val="0"/>
      <w:divBdr>
        <w:top w:val="none" w:sz="0" w:space="0" w:color="auto"/>
        <w:left w:val="none" w:sz="0" w:space="0" w:color="auto"/>
        <w:bottom w:val="none" w:sz="0" w:space="0" w:color="auto"/>
        <w:right w:val="none" w:sz="0" w:space="0" w:color="auto"/>
      </w:divBdr>
    </w:div>
    <w:div w:id="162773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diagramLayout" Target="diagrams/layout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04BB8E9-A546-4919-BDE0-1FED5A7DC71F}" type="doc">
      <dgm:prSet loTypeId="urn:microsoft.com/office/officeart/2005/8/layout/hierarchy3" loCatId="list" qsTypeId="urn:microsoft.com/office/officeart/2005/8/quickstyle/simple1" qsCatId="simple" csTypeId="urn:microsoft.com/office/officeart/2005/8/colors/accent1_2" csCatId="accent1" phldr="1"/>
      <dgm:spPr/>
      <dgm:t>
        <a:bodyPr/>
        <a:lstStyle/>
        <a:p>
          <a:endParaRPr lang="en-GB"/>
        </a:p>
      </dgm:t>
    </dgm:pt>
    <dgm:pt modelId="{30AB6ACC-5292-4176-B199-7E56A0CBFB71}">
      <dgm:prSet phldrT="[Text]"/>
      <dgm:spPr/>
      <dgm:t>
        <a:bodyPr/>
        <a:lstStyle/>
        <a:p>
          <a:r>
            <a:rPr lang="en-GB"/>
            <a:t>Confirmation of Pregnancy</a:t>
          </a:r>
        </a:p>
      </dgm:t>
    </dgm:pt>
    <dgm:pt modelId="{A9D2D39F-4221-4D8D-90B8-F7FB17451FF4}" type="parTrans" cxnId="{189ACC3E-ABEB-45EA-83A7-23054147C626}">
      <dgm:prSet/>
      <dgm:spPr/>
      <dgm:t>
        <a:bodyPr/>
        <a:lstStyle/>
        <a:p>
          <a:endParaRPr lang="en-GB"/>
        </a:p>
      </dgm:t>
    </dgm:pt>
    <dgm:pt modelId="{2D6ED7E1-5FDA-4078-AF2E-C59AF6A5617E}" type="sibTrans" cxnId="{189ACC3E-ABEB-45EA-83A7-23054147C626}">
      <dgm:prSet/>
      <dgm:spPr/>
      <dgm:t>
        <a:bodyPr/>
        <a:lstStyle/>
        <a:p>
          <a:endParaRPr lang="en-GB"/>
        </a:p>
      </dgm:t>
    </dgm:pt>
    <dgm:pt modelId="{A844F78B-CC36-41EE-A3FC-1E2F69800172}">
      <dgm:prSet phldrT="[Text]"/>
      <dgm:spPr/>
      <dgm:t>
        <a:bodyPr/>
        <a:lstStyle/>
        <a:p>
          <a:r>
            <a:rPr lang="en-GB"/>
            <a:t>Give 1 unit of FFP.</a:t>
          </a:r>
        </a:p>
      </dgm:t>
    </dgm:pt>
    <dgm:pt modelId="{B84C0038-A4ED-499E-8D26-B766B251738F}" type="parTrans" cxnId="{B011B4EC-AD59-40E7-AE34-B378D4E36012}">
      <dgm:prSet/>
      <dgm:spPr/>
      <dgm:t>
        <a:bodyPr/>
        <a:lstStyle/>
        <a:p>
          <a:endParaRPr lang="en-GB"/>
        </a:p>
      </dgm:t>
    </dgm:pt>
    <dgm:pt modelId="{7E2885D9-0FEB-4DE1-8299-BCAC85D9AA1E}" type="sibTrans" cxnId="{B011B4EC-AD59-40E7-AE34-B378D4E36012}">
      <dgm:prSet/>
      <dgm:spPr/>
      <dgm:t>
        <a:bodyPr/>
        <a:lstStyle/>
        <a:p>
          <a:endParaRPr lang="en-GB"/>
        </a:p>
      </dgm:t>
    </dgm:pt>
    <dgm:pt modelId="{0CA9AFF0-9BDE-4954-9EF1-DCF2FB6D6E62}">
      <dgm:prSet phldrT="[Text]"/>
      <dgm:spPr/>
      <dgm:t>
        <a:bodyPr/>
        <a:lstStyle/>
        <a:p>
          <a:r>
            <a:rPr lang="en-GB" b="0"/>
            <a:t>Fetal Heart beats detected	</a:t>
          </a:r>
        </a:p>
      </dgm:t>
    </dgm:pt>
    <dgm:pt modelId="{C6DEAE63-ED11-4645-824B-21B6AB99C319}" type="parTrans" cxnId="{328F7451-52BC-4543-BE49-D31E77CA9837}">
      <dgm:prSet/>
      <dgm:spPr/>
      <dgm:t>
        <a:bodyPr/>
        <a:lstStyle/>
        <a:p>
          <a:endParaRPr lang="en-GB"/>
        </a:p>
      </dgm:t>
    </dgm:pt>
    <dgm:pt modelId="{409DB00C-6318-4AFC-B5E7-839040D7CDC7}" type="sibTrans" cxnId="{328F7451-52BC-4543-BE49-D31E77CA9837}">
      <dgm:prSet/>
      <dgm:spPr/>
      <dgm:t>
        <a:bodyPr/>
        <a:lstStyle/>
        <a:p>
          <a:endParaRPr lang="en-GB"/>
        </a:p>
      </dgm:t>
    </dgm:pt>
    <dgm:pt modelId="{76C15867-D6F7-49FF-8D6B-E7B961F1421E}">
      <dgm:prSet phldrT="[Text]"/>
      <dgm:spPr/>
      <dgm:t>
        <a:bodyPr/>
        <a:lstStyle/>
        <a:p>
          <a:r>
            <a:rPr lang="en-GB"/>
            <a:t>28 - 36 weeks gestation</a:t>
          </a:r>
        </a:p>
      </dgm:t>
    </dgm:pt>
    <dgm:pt modelId="{A2182955-59CB-4206-B928-7AF13D69D55E}" type="parTrans" cxnId="{3CAD2351-FF36-48DB-9A8B-BF636B999947}">
      <dgm:prSet/>
      <dgm:spPr/>
      <dgm:t>
        <a:bodyPr/>
        <a:lstStyle/>
        <a:p>
          <a:endParaRPr lang="en-GB"/>
        </a:p>
      </dgm:t>
    </dgm:pt>
    <dgm:pt modelId="{65D05936-CAF3-45BA-905C-B920175B070F}" type="sibTrans" cxnId="{3CAD2351-FF36-48DB-9A8B-BF636B999947}">
      <dgm:prSet/>
      <dgm:spPr/>
      <dgm:t>
        <a:bodyPr/>
        <a:lstStyle/>
        <a:p>
          <a:endParaRPr lang="en-GB"/>
        </a:p>
      </dgm:t>
    </dgm:pt>
    <dgm:pt modelId="{A8B9558C-A70A-4FD1-94A5-1B20C8CA765B}">
      <dgm:prSet phldrT="[Text]"/>
      <dgm:spPr/>
      <dgm:t>
        <a:bodyPr/>
        <a:lstStyle/>
        <a:p>
          <a:r>
            <a:rPr lang="en-GB" b="0"/>
            <a:t>Give 1 unit of FFP</a:t>
          </a:r>
        </a:p>
      </dgm:t>
    </dgm:pt>
    <dgm:pt modelId="{FC2959C5-E491-4C05-A318-845513DACBE8}" type="sibTrans" cxnId="{0EB86DCA-C68B-45A6-9B43-F16F9CEB2DB6}">
      <dgm:prSet/>
      <dgm:spPr/>
      <dgm:t>
        <a:bodyPr/>
        <a:lstStyle/>
        <a:p>
          <a:endParaRPr lang="en-GB"/>
        </a:p>
      </dgm:t>
    </dgm:pt>
    <dgm:pt modelId="{1DAC7611-9417-4DE3-A7D7-CD5BAD5B0683}" type="parTrans" cxnId="{0EB86DCA-C68B-45A6-9B43-F16F9CEB2DB6}">
      <dgm:prSet/>
      <dgm:spPr/>
      <dgm:t>
        <a:bodyPr/>
        <a:lstStyle/>
        <a:p>
          <a:endParaRPr lang="en-GB"/>
        </a:p>
      </dgm:t>
    </dgm:pt>
    <dgm:pt modelId="{EE85735F-E5F0-4E5D-94AA-5ADE3A8B3B8B}">
      <dgm:prSet/>
      <dgm:spPr/>
      <dgm:t>
        <a:bodyPr/>
        <a:lstStyle/>
        <a:p>
          <a:r>
            <a:rPr lang="en-GB"/>
            <a:t>Up to 28 weeks gestation</a:t>
          </a:r>
        </a:p>
      </dgm:t>
    </dgm:pt>
    <dgm:pt modelId="{3868E713-75AD-4529-90A6-CF492599B238}" type="parTrans" cxnId="{E766111E-C932-4FBC-85FD-1A062EF5E809}">
      <dgm:prSet/>
      <dgm:spPr/>
      <dgm:t>
        <a:bodyPr/>
        <a:lstStyle/>
        <a:p>
          <a:endParaRPr lang="en-GB"/>
        </a:p>
      </dgm:t>
    </dgm:pt>
    <dgm:pt modelId="{46968DA6-A304-4DFA-BECC-83F1634B81AC}" type="sibTrans" cxnId="{E766111E-C932-4FBC-85FD-1A062EF5E809}">
      <dgm:prSet/>
      <dgm:spPr/>
      <dgm:t>
        <a:bodyPr/>
        <a:lstStyle/>
        <a:p>
          <a:endParaRPr lang="en-GB"/>
        </a:p>
      </dgm:t>
    </dgm:pt>
    <dgm:pt modelId="{E2E3D767-A90A-443D-80C5-3D62547466FD}">
      <dgm:prSet/>
      <dgm:spPr/>
      <dgm:t>
        <a:bodyPr/>
        <a:lstStyle/>
        <a:p>
          <a:r>
            <a:rPr lang="en-GB"/>
            <a:t>Give 1 unit of FFP every 4 weeks</a:t>
          </a:r>
        </a:p>
      </dgm:t>
    </dgm:pt>
    <dgm:pt modelId="{64D67284-9095-4023-BB47-2AA16F208616}" type="parTrans" cxnId="{EFB2D2E3-1FF9-445D-B2FE-EAC45A2C3149}">
      <dgm:prSet/>
      <dgm:spPr/>
      <dgm:t>
        <a:bodyPr/>
        <a:lstStyle/>
        <a:p>
          <a:endParaRPr lang="en-GB"/>
        </a:p>
      </dgm:t>
    </dgm:pt>
    <dgm:pt modelId="{1B32D965-DF73-431E-BC6F-38B3F9870959}" type="sibTrans" cxnId="{EFB2D2E3-1FF9-445D-B2FE-EAC45A2C3149}">
      <dgm:prSet/>
      <dgm:spPr/>
      <dgm:t>
        <a:bodyPr/>
        <a:lstStyle/>
        <a:p>
          <a:endParaRPr lang="en-GB"/>
        </a:p>
      </dgm:t>
    </dgm:pt>
    <dgm:pt modelId="{6579F660-C4C1-436E-B107-B1EDB2921E96}">
      <dgm:prSet/>
      <dgm:spPr/>
      <dgm:t>
        <a:bodyPr/>
        <a:lstStyle/>
        <a:p>
          <a:r>
            <a:rPr lang="en-GB"/>
            <a:t>High-risk pregnancy clinic monitoring every 4 weeks</a:t>
          </a:r>
        </a:p>
      </dgm:t>
    </dgm:pt>
    <dgm:pt modelId="{5502D30F-C492-4A60-BC02-101F9CD8AC05}" type="parTrans" cxnId="{53418872-21E3-4057-8529-FD4EEC279E3D}">
      <dgm:prSet/>
      <dgm:spPr/>
      <dgm:t>
        <a:bodyPr/>
        <a:lstStyle/>
        <a:p>
          <a:endParaRPr lang="en-GB"/>
        </a:p>
      </dgm:t>
    </dgm:pt>
    <dgm:pt modelId="{8854150C-F2FF-4C4E-8CE3-E20C3D7C31D6}" type="sibTrans" cxnId="{53418872-21E3-4057-8529-FD4EEC279E3D}">
      <dgm:prSet/>
      <dgm:spPr/>
      <dgm:t>
        <a:bodyPr/>
        <a:lstStyle/>
        <a:p>
          <a:endParaRPr lang="en-GB"/>
        </a:p>
      </dgm:t>
    </dgm:pt>
    <dgm:pt modelId="{CDE334AC-8D08-4A9E-A2E4-1FBCA2BE4847}">
      <dgm:prSet/>
      <dgm:spPr/>
      <dgm:t>
        <a:bodyPr/>
        <a:lstStyle/>
        <a:p>
          <a:r>
            <a:rPr lang="en-GB"/>
            <a:t>Give 1 unit of FFP every 4 weeks</a:t>
          </a:r>
        </a:p>
      </dgm:t>
    </dgm:pt>
    <dgm:pt modelId="{3ED72286-4697-403C-9AB7-B7E4BCC9AF8D}" type="parTrans" cxnId="{142389AA-3559-4AC6-BDEC-B5DE83B7F2FC}">
      <dgm:prSet/>
      <dgm:spPr/>
      <dgm:t>
        <a:bodyPr/>
        <a:lstStyle/>
        <a:p>
          <a:endParaRPr lang="en-GB"/>
        </a:p>
      </dgm:t>
    </dgm:pt>
    <dgm:pt modelId="{837B5568-A26C-450C-9C58-8E7C4EC4D79C}" type="sibTrans" cxnId="{142389AA-3559-4AC6-BDEC-B5DE83B7F2FC}">
      <dgm:prSet/>
      <dgm:spPr/>
      <dgm:t>
        <a:bodyPr/>
        <a:lstStyle/>
        <a:p>
          <a:endParaRPr lang="en-GB"/>
        </a:p>
      </dgm:t>
    </dgm:pt>
    <dgm:pt modelId="{B6BCD431-AFD4-4D8C-BE8C-12BB99A01CEA}">
      <dgm:prSet/>
      <dgm:spPr/>
      <dgm:t>
        <a:bodyPr/>
        <a:lstStyle/>
        <a:p>
          <a:r>
            <a:rPr lang="en-GB"/>
            <a:t>High-risk pregnancy clinic monitoring every 2 weeks</a:t>
          </a:r>
        </a:p>
      </dgm:t>
    </dgm:pt>
    <dgm:pt modelId="{2F9AE3EA-F927-49EC-80ED-423F66F58AF3}" type="parTrans" cxnId="{A6321013-96A4-443D-862B-4844B5829391}">
      <dgm:prSet/>
      <dgm:spPr/>
      <dgm:t>
        <a:bodyPr/>
        <a:lstStyle/>
        <a:p>
          <a:endParaRPr lang="en-GB"/>
        </a:p>
      </dgm:t>
    </dgm:pt>
    <dgm:pt modelId="{25289E70-3ADE-42CA-BD53-BB82C36D16E4}" type="sibTrans" cxnId="{A6321013-96A4-443D-862B-4844B5829391}">
      <dgm:prSet/>
      <dgm:spPr/>
      <dgm:t>
        <a:bodyPr/>
        <a:lstStyle/>
        <a:p>
          <a:endParaRPr lang="en-GB"/>
        </a:p>
      </dgm:t>
    </dgm:pt>
    <dgm:pt modelId="{F6D7C7E7-3189-44E3-B46C-5289567657CF}">
      <dgm:prSet/>
      <dgm:spPr/>
      <dgm:t>
        <a:bodyPr/>
        <a:lstStyle/>
        <a:p>
          <a:r>
            <a:rPr lang="en-GB"/>
            <a:t>36 weeks - delivery</a:t>
          </a:r>
        </a:p>
      </dgm:t>
    </dgm:pt>
    <dgm:pt modelId="{4D2D5F87-3636-4778-A353-1C05F8C368BF}" type="parTrans" cxnId="{42321D46-31D4-4D75-B864-B8B4D4DB905E}">
      <dgm:prSet/>
      <dgm:spPr/>
      <dgm:t>
        <a:bodyPr/>
        <a:lstStyle/>
        <a:p>
          <a:endParaRPr lang="en-GB"/>
        </a:p>
      </dgm:t>
    </dgm:pt>
    <dgm:pt modelId="{9A8F62F3-8E32-4453-9A6D-7A0E8920C116}" type="sibTrans" cxnId="{42321D46-31D4-4D75-B864-B8B4D4DB905E}">
      <dgm:prSet/>
      <dgm:spPr/>
      <dgm:t>
        <a:bodyPr/>
        <a:lstStyle/>
        <a:p>
          <a:endParaRPr lang="en-GB"/>
        </a:p>
      </dgm:t>
    </dgm:pt>
    <dgm:pt modelId="{143D96D7-9417-4E89-9074-CCB7ADB170E6}">
      <dgm:prSet/>
      <dgm:spPr/>
      <dgm:t>
        <a:bodyPr/>
        <a:lstStyle/>
        <a:p>
          <a:r>
            <a:rPr lang="en-GB"/>
            <a:t>Give 1 unit of FFP every 4 weeks</a:t>
          </a:r>
        </a:p>
      </dgm:t>
    </dgm:pt>
    <dgm:pt modelId="{2B825382-8B24-4B4D-82C5-A6C3DAC80610}" type="parTrans" cxnId="{348D7925-2A3C-4240-A3CE-03A7760B78C0}">
      <dgm:prSet/>
      <dgm:spPr/>
      <dgm:t>
        <a:bodyPr/>
        <a:lstStyle/>
        <a:p>
          <a:endParaRPr lang="en-GB"/>
        </a:p>
      </dgm:t>
    </dgm:pt>
    <dgm:pt modelId="{2F68727C-4C6B-4A5B-96D2-1D007B56801C}" type="sibTrans" cxnId="{348D7925-2A3C-4240-A3CE-03A7760B78C0}">
      <dgm:prSet/>
      <dgm:spPr/>
      <dgm:t>
        <a:bodyPr/>
        <a:lstStyle/>
        <a:p>
          <a:endParaRPr lang="en-GB"/>
        </a:p>
      </dgm:t>
    </dgm:pt>
    <dgm:pt modelId="{96C385BB-4B63-409E-AFD9-67389A2EE007}">
      <dgm:prSet/>
      <dgm:spPr/>
      <dgm:t>
        <a:bodyPr/>
        <a:lstStyle/>
        <a:p>
          <a:r>
            <a:rPr lang="en-GB"/>
            <a:t>High-risk pregnancy clinic monitoring every week</a:t>
          </a:r>
        </a:p>
      </dgm:t>
    </dgm:pt>
    <dgm:pt modelId="{76A3E085-9611-463B-965C-23593AC2391A}" type="parTrans" cxnId="{A73E493A-42C5-401C-AABB-4CFD282B5843}">
      <dgm:prSet/>
      <dgm:spPr/>
      <dgm:t>
        <a:bodyPr/>
        <a:lstStyle/>
        <a:p>
          <a:endParaRPr lang="en-GB"/>
        </a:p>
      </dgm:t>
    </dgm:pt>
    <dgm:pt modelId="{D1E304E8-7D29-4826-936A-F5B77DA82E36}" type="sibTrans" cxnId="{A73E493A-42C5-401C-AABB-4CFD282B5843}">
      <dgm:prSet/>
      <dgm:spPr/>
      <dgm:t>
        <a:bodyPr/>
        <a:lstStyle/>
        <a:p>
          <a:endParaRPr lang="en-GB"/>
        </a:p>
      </dgm:t>
    </dgm:pt>
    <dgm:pt modelId="{10FBBCDC-013F-45B2-B45A-16889CE8F8E8}" type="pres">
      <dgm:prSet presAssocID="{404BB8E9-A546-4919-BDE0-1FED5A7DC71F}" presName="diagram" presStyleCnt="0">
        <dgm:presLayoutVars>
          <dgm:chPref val="1"/>
          <dgm:dir/>
          <dgm:animOne val="branch"/>
          <dgm:animLvl val="lvl"/>
          <dgm:resizeHandles/>
        </dgm:presLayoutVars>
      </dgm:prSet>
      <dgm:spPr/>
      <dgm:t>
        <a:bodyPr/>
        <a:lstStyle/>
        <a:p>
          <a:endParaRPr lang="en-US"/>
        </a:p>
      </dgm:t>
    </dgm:pt>
    <dgm:pt modelId="{96AFA542-F86E-4AB0-A0C3-FC2C7F0A53A7}" type="pres">
      <dgm:prSet presAssocID="{30AB6ACC-5292-4176-B199-7E56A0CBFB71}" presName="root" presStyleCnt="0"/>
      <dgm:spPr/>
    </dgm:pt>
    <dgm:pt modelId="{D61ED385-3123-485B-B434-102C8F14D1F0}" type="pres">
      <dgm:prSet presAssocID="{30AB6ACC-5292-4176-B199-7E56A0CBFB71}" presName="rootComposite" presStyleCnt="0"/>
      <dgm:spPr/>
    </dgm:pt>
    <dgm:pt modelId="{9F42E807-C2CF-4F51-A946-3BE92A7CED4F}" type="pres">
      <dgm:prSet presAssocID="{30AB6ACC-5292-4176-B199-7E56A0CBFB71}" presName="rootText" presStyleLbl="node1" presStyleIdx="0" presStyleCnt="5"/>
      <dgm:spPr/>
      <dgm:t>
        <a:bodyPr/>
        <a:lstStyle/>
        <a:p>
          <a:endParaRPr lang="en-US"/>
        </a:p>
      </dgm:t>
    </dgm:pt>
    <dgm:pt modelId="{0D612355-09B7-483D-82B9-C4CAAD99C842}" type="pres">
      <dgm:prSet presAssocID="{30AB6ACC-5292-4176-B199-7E56A0CBFB71}" presName="rootConnector" presStyleLbl="node1" presStyleIdx="0" presStyleCnt="5"/>
      <dgm:spPr/>
      <dgm:t>
        <a:bodyPr/>
        <a:lstStyle/>
        <a:p>
          <a:endParaRPr lang="en-US"/>
        </a:p>
      </dgm:t>
    </dgm:pt>
    <dgm:pt modelId="{B3064514-A3B4-496F-945C-AF30AE444B52}" type="pres">
      <dgm:prSet presAssocID="{30AB6ACC-5292-4176-B199-7E56A0CBFB71}" presName="childShape" presStyleCnt="0"/>
      <dgm:spPr/>
    </dgm:pt>
    <dgm:pt modelId="{915A5CFA-AB75-431A-8049-04F35C929700}" type="pres">
      <dgm:prSet presAssocID="{B84C0038-A4ED-499E-8D26-B766B251738F}" presName="Name13" presStyleLbl="parChTrans1D2" presStyleIdx="0" presStyleCnt="8"/>
      <dgm:spPr/>
      <dgm:t>
        <a:bodyPr/>
        <a:lstStyle/>
        <a:p>
          <a:endParaRPr lang="en-US"/>
        </a:p>
      </dgm:t>
    </dgm:pt>
    <dgm:pt modelId="{E931BB90-7EFE-4494-BD63-C6FAD4045335}" type="pres">
      <dgm:prSet presAssocID="{A844F78B-CC36-41EE-A3FC-1E2F69800172}" presName="childText" presStyleLbl="bgAcc1" presStyleIdx="0" presStyleCnt="8">
        <dgm:presLayoutVars>
          <dgm:bulletEnabled val="1"/>
        </dgm:presLayoutVars>
      </dgm:prSet>
      <dgm:spPr/>
      <dgm:t>
        <a:bodyPr/>
        <a:lstStyle/>
        <a:p>
          <a:endParaRPr lang="en-US"/>
        </a:p>
      </dgm:t>
    </dgm:pt>
    <dgm:pt modelId="{F944EE07-D2F4-4F90-9B73-75EC6F0C0EF6}" type="pres">
      <dgm:prSet presAssocID="{0CA9AFF0-9BDE-4954-9EF1-DCF2FB6D6E62}" presName="root" presStyleCnt="0"/>
      <dgm:spPr/>
    </dgm:pt>
    <dgm:pt modelId="{23A6BA05-6898-475A-A896-C5569E542037}" type="pres">
      <dgm:prSet presAssocID="{0CA9AFF0-9BDE-4954-9EF1-DCF2FB6D6E62}" presName="rootComposite" presStyleCnt="0"/>
      <dgm:spPr/>
    </dgm:pt>
    <dgm:pt modelId="{C83A02D8-9BDD-4244-BC5A-524B21FB5B65}" type="pres">
      <dgm:prSet presAssocID="{0CA9AFF0-9BDE-4954-9EF1-DCF2FB6D6E62}" presName="rootText" presStyleLbl="node1" presStyleIdx="1" presStyleCnt="5"/>
      <dgm:spPr/>
      <dgm:t>
        <a:bodyPr/>
        <a:lstStyle/>
        <a:p>
          <a:endParaRPr lang="en-US"/>
        </a:p>
      </dgm:t>
    </dgm:pt>
    <dgm:pt modelId="{6B45C195-91F6-4115-BF1C-CCBFB23CE3D6}" type="pres">
      <dgm:prSet presAssocID="{0CA9AFF0-9BDE-4954-9EF1-DCF2FB6D6E62}" presName="rootConnector" presStyleLbl="node1" presStyleIdx="1" presStyleCnt="5"/>
      <dgm:spPr/>
      <dgm:t>
        <a:bodyPr/>
        <a:lstStyle/>
        <a:p>
          <a:endParaRPr lang="en-US"/>
        </a:p>
      </dgm:t>
    </dgm:pt>
    <dgm:pt modelId="{75037BA8-864A-435D-BE93-2DB242D67E33}" type="pres">
      <dgm:prSet presAssocID="{0CA9AFF0-9BDE-4954-9EF1-DCF2FB6D6E62}" presName="childShape" presStyleCnt="0"/>
      <dgm:spPr/>
    </dgm:pt>
    <dgm:pt modelId="{B80AB010-568B-4F96-AD42-CB2EB8D31650}" type="pres">
      <dgm:prSet presAssocID="{1DAC7611-9417-4DE3-A7D7-CD5BAD5B0683}" presName="Name13" presStyleLbl="parChTrans1D2" presStyleIdx="1" presStyleCnt="8"/>
      <dgm:spPr/>
      <dgm:t>
        <a:bodyPr/>
        <a:lstStyle/>
        <a:p>
          <a:endParaRPr lang="en-US"/>
        </a:p>
      </dgm:t>
    </dgm:pt>
    <dgm:pt modelId="{9F5C9846-6ABE-4734-A686-C7E6910075E4}" type="pres">
      <dgm:prSet presAssocID="{A8B9558C-A70A-4FD1-94A5-1B20C8CA765B}" presName="childText" presStyleLbl="bgAcc1" presStyleIdx="1" presStyleCnt="8">
        <dgm:presLayoutVars>
          <dgm:bulletEnabled val="1"/>
        </dgm:presLayoutVars>
      </dgm:prSet>
      <dgm:spPr/>
      <dgm:t>
        <a:bodyPr/>
        <a:lstStyle/>
        <a:p>
          <a:endParaRPr lang="en-US"/>
        </a:p>
      </dgm:t>
    </dgm:pt>
    <dgm:pt modelId="{ECA663AE-9D88-4867-A6B2-53903FC46F85}" type="pres">
      <dgm:prSet presAssocID="{EE85735F-E5F0-4E5D-94AA-5ADE3A8B3B8B}" presName="root" presStyleCnt="0"/>
      <dgm:spPr/>
    </dgm:pt>
    <dgm:pt modelId="{ED44B00C-F2AD-479A-AD97-AAB183F36C81}" type="pres">
      <dgm:prSet presAssocID="{EE85735F-E5F0-4E5D-94AA-5ADE3A8B3B8B}" presName="rootComposite" presStyleCnt="0"/>
      <dgm:spPr/>
    </dgm:pt>
    <dgm:pt modelId="{FEDB3D16-0185-491C-974E-62F099ED3833}" type="pres">
      <dgm:prSet presAssocID="{EE85735F-E5F0-4E5D-94AA-5ADE3A8B3B8B}" presName="rootText" presStyleLbl="node1" presStyleIdx="2" presStyleCnt="5"/>
      <dgm:spPr/>
      <dgm:t>
        <a:bodyPr/>
        <a:lstStyle/>
        <a:p>
          <a:endParaRPr lang="en-US"/>
        </a:p>
      </dgm:t>
    </dgm:pt>
    <dgm:pt modelId="{AB9BE3E3-E3B3-4077-90CA-6D105EDB96B1}" type="pres">
      <dgm:prSet presAssocID="{EE85735F-E5F0-4E5D-94AA-5ADE3A8B3B8B}" presName="rootConnector" presStyleLbl="node1" presStyleIdx="2" presStyleCnt="5"/>
      <dgm:spPr/>
      <dgm:t>
        <a:bodyPr/>
        <a:lstStyle/>
        <a:p>
          <a:endParaRPr lang="en-US"/>
        </a:p>
      </dgm:t>
    </dgm:pt>
    <dgm:pt modelId="{0D4FD754-5B6C-4B36-9338-DD17229A0421}" type="pres">
      <dgm:prSet presAssocID="{EE85735F-E5F0-4E5D-94AA-5ADE3A8B3B8B}" presName="childShape" presStyleCnt="0"/>
      <dgm:spPr/>
    </dgm:pt>
    <dgm:pt modelId="{1A450F13-91AD-4946-80BA-5BB572CACDB5}" type="pres">
      <dgm:prSet presAssocID="{64D67284-9095-4023-BB47-2AA16F208616}" presName="Name13" presStyleLbl="parChTrans1D2" presStyleIdx="2" presStyleCnt="8"/>
      <dgm:spPr/>
      <dgm:t>
        <a:bodyPr/>
        <a:lstStyle/>
        <a:p>
          <a:endParaRPr lang="en-US"/>
        </a:p>
      </dgm:t>
    </dgm:pt>
    <dgm:pt modelId="{D949B431-F39B-4F42-8998-4EED89E64053}" type="pres">
      <dgm:prSet presAssocID="{E2E3D767-A90A-443D-80C5-3D62547466FD}" presName="childText" presStyleLbl="bgAcc1" presStyleIdx="2" presStyleCnt="8">
        <dgm:presLayoutVars>
          <dgm:bulletEnabled val="1"/>
        </dgm:presLayoutVars>
      </dgm:prSet>
      <dgm:spPr/>
      <dgm:t>
        <a:bodyPr/>
        <a:lstStyle/>
        <a:p>
          <a:endParaRPr lang="en-US"/>
        </a:p>
      </dgm:t>
    </dgm:pt>
    <dgm:pt modelId="{9F1C2986-29FD-43BA-8573-7B364CEF104E}" type="pres">
      <dgm:prSet presAssocID="{5502D30F-C492-4A60-BC02-101F9CD8AC05}" presName="Name13" presStyleLbl="parChTrans1D2" presStyleIdx="3" presStyleCnt="8"/>
      <dgm:spPr/>
      <dgm:t>
        <a:bodyPr/>
        <a:lstStyle/>
        <a:p>
          <a:endParaRPr lang="en-US"/>
        </a:p>
      </dgm:t>
    </dgm:pt>
    <dgm:pt modelId="{DFAD5FFB-617F-424C-9ABB-49E7C194F3DD}" type="pres">
      <dgm:prSet presAssocID="{6579F660-C4C1-436E-B107-B1EDB2921E96}" presName="childText" presStyleLbl="bgAcc1" presStyleIdx="3" presStyleCnt="8">
        <dgm:presLayoutVars>
          <dgm:bulletEnabled val="1"/>
        </dgm:presLayoutVars>
      </dgm:prSet>
      <dgm:spPr/>
      <dgm:t>
        <a:bodyPr/>
        <a:lstStyle/>
        <a:p>
          <a:endParaRPr lang="en-US"/>
        </a:p>
      </dgm:t>
    </dgm:pt>
    <dgm:pt modelId="{AF37050F-F557-4DCB-8A80-E7D5F26D50C3}" type="pres">
      <dgm:prSet presAssocID="{76C15867-D6F7-49FF-8D6B-E7B961F1421E}" presName="root" presStyleCnt="0"/>
      <dgm:spPr/>
    </dgm:pt>
    <dgm:pt modelId="{1CB6F8C9-F0CF-43A7-A8E1-C8C83422C64A}" type="pres">
      <dgm:prSet presAssocID="{76C15867-D6F7-49FF-8D6B-E7B961F1421E}" presName="rootComposite" presStyleCnt="0"/>
      <dgm:spPr/>
    </dgm:pt>
    <dgm:pt modelId="{828A60AE-861A-4CD2-9CB4-B15799EC5213}" type="pres">
      <dgm:prSet presAssocID="{76C15867-D6F7-49FF-8D6B-E7B961F1421E}" presName="rootText" presStyleLbl="node1" presStyleIdx="3" presStyleCnt="5"/>
      <dgm:spPr/>
      <dgm:t>
        <a:bodyPr/>
        <a:lstStyle/>
        <a:p>
          <a:endParaRPr lang="en-US"/>
        </a:p>
      </dgm:t>
    </dgm:pt>
    <dgm:pt modelId="{3038F7D3-F95F-4B86-A8EE-759638E2642F}" type="pres">
      <dgm:prSet presAssocID="{76C15867-D6F7-49FF-8D6B-E7B961F1421E}" presName="rootConnector" presStyleLbl="node1" presStyleIdx="3" presStyleCnt="5"/>
      <dgm:spPr/>
      <dgm:t>
        <a:bodyPr/>
        <a:lstStyle/>
        <a:p>
          <a:endParaRPr lang="en-US"/>
        </a:p>
      </dgm:t>
    </dgm:pt>
    <dgm:pt modelId="{389015E2-B988-4501-87C2-8CDDB7B8A357}" type="pres">
      <dgm:prSet presAssocID="{76C15867-D6F7-49FF-8D6B-E7B961F1421E}" presName="childShape" presStyleCnt="0"/>
      <dgm:spPr/>
    </dgm:pt>
    <dgm:pt modelId="{FF1F1D0D-15B7-4157-8C3D-0BA8024FE383}" type="pres">
      <dgm:prSet presAssocID="{3ED72286-4697-403C-9AB7-B7E4BCC9AF8D}" presName="Name13" presStyleLbl="parChTrans1D2" presStyleIdx="4" presStyleCnt="8"/>
      <dgm:spPr/>
      <dgm:t>
        <a:bodyPr/>
        <a:lstStyle/>
        <a:p>
          <a:endParaRPr lang="en-US"/>
        </a:p>
      </dgm:t>
    </dgm:pt>
    <dgm:pt modelId="{47D5DFDB-25D7-4AED-998B-2022122DBAA8}" type="pres">
      <dgm:prSet presAssocID="{CDE334AC-8D08-4A9E-A2E4-1FBCA2BE4847}" presName="childText" presStyleLbl="bgAcc1" presStyleIdx="4" presStyleCnt="8">
        <dgm:presLayoutVars>
          <dgm:bulletEnabled val="1"/>
        </dgm:presLayoutVars>
      </dgm:prSet>
      <dgm:spPr/>
      <dgm:t>
        <a:bodyPr/>
        <a:lstStyle/>
        <a:p>
          <a:endParaRPr lang="en-US"/>
        </a:p>
      </dgm:t>
    </dgm:pt>
    <dgm:pt modelId="{504E7235-D3B2-4652-880E-744FCCC58A54}" type="pres">
      <dgm:prSet presAssocID="{2F9AE3EA-F927-49EC-80ED-423F66F58AF3}" presName="Name13" presStyleLbl="parChTrans1D2" presStyleIdx="5" presStyleCnt="8"/>
      <dgm:spPr/>
      <dgm:t>
        <a:bodyPr/>
        <a:lstStyle/>
        <a:p>
          <a:endParaRPr lang="en-US"/>
        </a:p>
      </dgm:t>
    </dgm:pt>
    <dgm:pt modelId="{C6F30A27-E8BB-41BC-970D-1B953C735A78}" type="pres">
      <dgm:prSet presAssocID="{B6BCD431-AFD4-4D8C-BE8C-12BB99A01CEA}" presName="childText" presStyleLbl="bgAcc1" presStyleIdx="5" presStyleCnt="8">
        <dgm:presLayoutVars>
          <dgm:bulletEnabled val="1"/>
        </dgm:presLayoutVars>
      </dgm:prSet>
      <dgm:spPr/>
      <dgm:t>
        <a:bodyPr/>
        <a:lstStyle/>
        <a:p>
          <a:endParaRPr lang="en-US"/>
        </a:p>
      </dgm:t>
    </dgm:pt>
    <dgm:pt modelId="{BAF42015-51F9-4F46-BDB8-2D5D12523A38}" type="pres">
      <dgm:prSet presAssocID="{F6D7C7E7-3189-44E3-B46C-5289567657CF}" presName="root" presStyleCnt="0"/>
      <dgm:spPr/>
    </dgm:pt>
    <dgm:pt modelId="{AF503664-38B5-4B55-9100-C0DA2409DE55}" type="pres">
      <dgm:prSet presAssocID="{F6D7C7E7-3189-44E3-B46C-5289567657CF}" presName="rootComposite" presStyleCnt="0"/>
      <dgm:spPr/>
    </dgm:pt>
    <dgm:pt modelId="{BBEC7B01-148D-4125-B6BB-66B95D82D3D6}" type="pres">
      <dgm:prSet presAssocID="{F6D7C7E7-3189-44E3-B46C-5289567657CF}" presName="rootText" presStyleLbl="node1" presStyleIdx="4" presStyleCnt="5"/>
      <dgm:spPr/>
      <dgm:t>
        <a:bodyPr/>
        <a:lstStyle/>
        <a:p>
          <a:endParaRPr lang="en-US"/>
        </a:p>
      </dgm:t>
    </dgm:pt>
    <dgm:pt modelId="{7A91E143-47F0-46C1-9613-96DE9E86F090}" type="pres">
      <dgm:prSet presAssocID="{F6D7C7E7-3189-44E3-B46C-5289567657CF}" presName="rootConnector" presStyleLbl="node1" presStyleIdx="4" presStyleCnt="5"/>
      <dgm:spPr/>
      <dgm:t>
        <a:bodyPr/>
        <a:lstStyle/>
        <a:p>
          <a:endParaRPr lang="en-US"/>
        </a:p>
      </dgm:t>
    </dgm:pt>
    <dgm:pt modelId="{293F431D-9199-4DE9-B4E6-D27DFC8DCCD7}" type="pres">
      <dgm:prSet presAssocID="{F6D7C7E7-3189-44E3-B46C-5289567657CF}" presName="childShape" presStyleCnt="0"/>
      <dgm:spPr/>
    </dgm:pt>
    <dgm:pt modelId="{70327B5A-14D6-412F-9D80-146A3B6FEAA2}" type="pres">
      <dgm:prSet presAssocID="{2B825382-8B24-4B4D-82C5-A6C3DAC80610}" presName="Name13" presStyleLbl="parChTrans1D2" presStyleIdx="6" presStyleCnt="8"/>
      <dgm:spPr/>
      <dgm:t>
        <a:bodyPr/>
        <a:lstStyle/>
        <a:p>
          <a:endParaRPr lang="en-US"/>
        </a:p>
      </dgm:t>
    </dgm:pt>
    <dgm:pt modelId="{59E10700-F7F9-426B-8C9F-6E6C5F12943A}" type="pres">
      <dgm:prSet presAssocID="{143D96D7-9417-4E89-9074-CCB7ADB170E6}" presName="childText" presStyleLbl="bgAcc1" presStyleIdx="6" presStyleCnt="8">
        <dgm:presLayoutVars>
          <dgm:bulletEnabled val="1"/>
        </dgm:presLayoutVars>
      </dgm:prSet>
      <dgm:spPr/>
      <dgm:t>
        <a:bodyPr/>
        <a:lstStyle/>
        <a:p>
          <a:endParaRPr lang="en-US"/>
        </a:p>
      </dgm:t>
    </dgm:pt>
    <dgm:pt modelId="{9C0827C9-BE05-47F3-BBB7-8BB63393E05F}" type="pres">
      <dgm:prSet presAssocID="{76A3E085-9611-463B-965C-23593AC2391A}" presName="Name13" presStyleLbl="parChTrans1D2" presStyleIdx="7" presStyleCnt="8"/>
      <dgm:spPr/>
      <dgm:t>
        <a:bodyPr/>
        <a:lstStyle/>
        <a:p>
          <a:endParaRPr lang="en-US"/>
        </a:p>
      </dgm:t>
    </dgm:pt>
    <dgm:pt modelId="{F86E5B6B-6690-49DE-8CA7-597BA6163FE5}" type="pres">
      <dgm:prSet presAssocID="{96C385BB-4B63-409E-AFD9-67389A2EE007}" presName="childText" presStyleLbl="bgAcc1" presStyleIdx="7" presStyleCnt="8">
        <dgm:presLayoutVars>
          <dgm:bulletEnabled val="1"/>
        </dgm:presLayoutVars>
      </dgm:prSet>
      <dgm:spPr/>
      <dgm:t>
        <a:bodyPr/>
        <a:lstStyle/>
        <a:p>
          <a:endParaRPr lang="en-US"/>
        </a:p>
      </dgm:t>
    </dgm:pt>
  </dgm:ptLst>
  <dgm:cxnLst>
    <dgm:cxn modelId="{A73E493A-42C5-401C-AABB-4CFD282B5843}" srcId="{F6D7C7E7-3189-44E3-B46C-5289567657CF}" destId="{96C385BB-4B63-409E-AFD9-67389A2EE007}" srcOrd="1" destOrd="0" parTransId="{76A3E085-9611-463B-965C-23593AC2391A}" sibTransId="{D1E304E8-7D29-4826-936A-F5B77DA82E36}"/>
    <dgm:cxn modelId="{A6321013-96A4-443D-862B-4844B5829391}" srcId="{76C15867-D6F7-49FF-8D6B-E7B961F1421E}" destId="{B6BCD431-AFD4-4D8C-BE8C-12BB99A01CEA}" srcOrd="1" destOrd="0" parTransId="{2F9AE3EA-F927-49EC-80ED-423F66F58AF3}" sibTransId="{25289E70-3ADE-42CA-BD53-BB82C36D16E4}"/>
    <dgm:cxn modelId="{59D37714-9E98-4D71-BBA0-DE0EDB230778}" type="presOf" srcId="{0CA9AFF0-9BDE-4954-9EF1-DCF2FB6D6E62}" destId="{C83A02D8-9BDD-4244-BC5A-524B21FB5B65}" srcOrd="0" destOrd="0" presId="urn:microsoft.com/office/officeart/2005/8/layout/hierarchy3"/>
    <dgm:cxn modelId="{602D1AA1-2AA8-4C7A-A1E3-841D5D26B402}" type="presOf" srcId="{404BB8E9-A546-4919-BDE0-1FED5A7DC71F}" destId="{10FBBCDC-013F-45B2-B45A-16889CE8F8E8}" srcOrd="0" destOrd="0" presId="urn:microsoft.com/office/officeart/2005/8/layout/hierarchy3"/>
    <dgm:cxn modelId="{012E8F7F-50F1-4460-AB8A-11E873CBDD94}" type="presOf" srcId="{76C15867-D6F7-49FF-8D6B-E7B961F1421E}" destId="{828A60AE-861A-4CD2-9CB4-B15799EC5213}" srcOrd="0" destOrd="0" presId="urn:microsoft.com/office/officeart/2005/8/layout/hierarchy3"/>
    <dgm:cxn modelId="{CC75F940-874E-4566-B9D3-A3C5EB50521A}" type="presOf" srcId="{6579F660-C4C1-436E-B107-B1EDB2921E96}" destId="{DFAD5FFB-617F-424C-9ABB-49E7C194F3DD}" srcOrd="0" destOrd="0" presId="urn:microsoft.com/office/officeart/2005/8/layout/hierarchy3"/>
    <dgm:cxn modelId="{321D5720-EC86-45C7-B9E7-2CFFE109EB27}" type="presOf" srcId="{30AB6ACC-5292-4176-B199-7E56A0CBFB71}" destId="{9F42E807-C2CF-4F51-A946-3BE92A7CED4F}" srcOrd="0" destOrd="0" presId="urn:microsoft.com/office/officeart/2005/8/layout/hierarchy3"/>
    <dgm:cxn modelId="{53418872-21E3-4057-8529-FD4EEC279E3D}" srcId="{EE85735F-E5F0-4E5D-94AA-5ADE3A8B3B8B}" destId="{6579F660-C4C1-436E-B107-B1EDB2921E96}" srcOrd="1" destOrd="0" parTransId="{5502D30F-C492-4A60-BC02-101F9CD8AC05}" sibTransId="{8854150C-F2FF-4C4E-8CE3-E20C3D7C31D6}"/>
    <dgm:cxn modelId="{D2B385AE-F682-4040-8557-EE7236880728}" type="presOf" srcId="{EE85735F-E5F0-4E5D-94AA-5ADE3A8B3B8B}" destId="{FEDB3D16-0185-491C-974E-62F099ED3833}" srcOrd="0" destOrd="0" presId="urn:microsoft.com/office/officeart/2005/8/layout/hierarchy3"/>
    <dgm:cxn modelId="{40402FF8-67D1-455F-AA2C-607F08952813}" type="presOf" srcId="{96C385BB-4B63-409E-AFD9-67389A2EE007}" destId="{F86E5B6B-6690-49DE-8CA7-597BA6163FE5}" srcOrd="0" destOrd="0" presId="urn:microsoft.com/office/officeart/2005/8/layout/hierarchy3"/>
    <dgm:cxn modelId="{4B899FFD-FFEC-4CF5-932F-C86E07419481}" type="presOf" srcId="{EE85735F-E5F0-4E5D-94AA-5ADE3A8B3B8B}" destId="{AB9BE3E3-E3B3-4077-90CA-6D105EDB96B1}" srcOrd="1" destOrd="0" presId="urn:microsoft.com/office/officeart/2005/8/layout/hierarchy3"/>
    <dgm:cxn modelId="{190737CE-DA79-4ED3-88AB-15F91AC00B87}" type="presOf" srcId="{76C15867-D6F7-49FF-8D6B-E7B961F1421E}" destId="{3038F7D3-F95F-4B86-A8EE-759638E2642F}" srcOrd="1" destOrd="0" presId="urn:microsoft.com/office/officeart/2005/8/layout/hierarchy3"/>
    <dgm:cxn modelId="{30A31E9F-F261-47CF-81C7-2A99110ED096}" type="presOf" srcId="{143D96D7-9417-4E89-9074-CCB7ADB170E6}" destId="{59E10700-F7F9-426B-8C9F-6E6C5F12943A}" srcOrd="0" destOrd="0" presId="urn:microsoft.com/office/officeart/2005/8/layout/hierarchy3"/>
    <dgm:cxn modelId="{3CAD2351-FF36-48DB-9A8B-BF636B999947}" srcId="{404BB8E9-A546-4919-BDE0-1FED5A7DC71F}" destId="{76C15867-D6F7-49FF-8D6B-E7B961F1421E}" srcOrd="3" destOrd="0" parTransId="{A2182955-59CB-4206-B928-7AF13D69D55E}" sibTransId="{65D05936-CAF3-45BA-905C-B920175B070F}"/>
    <dgm:cxn modelId="{EFB2D2E3-1FF9-445D-B2FE-EAC45A2C3149}" srcId="{EE85735F-E5F0-4E5D-94AA-5ADE3A8B3B8B}" destId="{E2E3D767-A90A-443D-80C5-3D62547466FD}" srcOrd="0" destOrd="0" parTransId="{64D67284-9095-4023-BB47-2AA16F208616}" sibTransId="{1B32D965-DF73-431E-BC6F-38B3F9870959}"/>
    <dgm:cxn modelId="{B6F22CAE-3B5D-4AEB-B19A-5A44D30DC574}" type="presOf" srcId="{2F9AE3EA-F927-49EC-80ED-423F66F58AF3}" destId="{504E7235-D3B2-4652-880E-744FCCC58A54}" srcOrd="0" destOrd="0" presId="urn:microsoft.com/office/officeart/2005/8/layout/hierarchy3"/>
    <dgm:cxn modelId="{328F7451-52BC-4543-BE49-D31E77CA9837}" srcId="{404BB8E9-A546-4919-BDE0-1FED5A7DC71F}" destId="{0CA9AFF0-9BDE-4954-9EF1-DCF2FB6D6E62}" srcOrd="1" destOrd="0" parTransId="{C6DEAE63-ED11-4645-824B-21B6AB99C319}" sibTransId="{409DB00C-6318-4AFC-B5E7-839040D7CDC7}"/>
    <dgm:cxn modelId="{189ACC3E-ABEB-45EA-83A7-23054147C626}" srcId="{404BB8E9-A546-4919-BDE0-1FED5A7DC71F}" destId="{30AB6ACC-5292-4176-B199-7E56A0CBFB71}" srcOrd="0" destOrd="0" parTransId="{A9D2D39F-4221-4D8D-90B8-F7FB17451FF4}" sibTransId="{2D6ED7E1-5FDA-4078-AF2E-C59AF6A5617E}"/>
    <dgm:cxn modelId="{1443EC67-2154-4B11-92DF-4626180DCD45}" type="presOf" srcId="{F6D7C7E7-3189-44E3-B46C-5289567657CF}" destId="{7A91E143-47F0-46C1-9613-96DE9E86F090}" srcOrd="1" destOrd="0" presId="urn:microsoft.com/office/officeart/2005/8/layout/hierarchy3"/>
    <dgm:cxn modelId="{142F1FE7-FEB7-4E9D-8F17-16A645289B72}" type="presOf" srcId="{3ED72286-4697-403C-9AB7-B7E4BCC9AF8D}" destId="{FF1F1D0D-15B7-4157-8C3D-0BA8024FE383}" srcOrd="0" destOrd="0" presId="urn:microsoft.com/office/officeart/2005/8/layout/hierarchy3"/>
    <dgm:cxn modelId="{25BD7744-5E91-43C3-A4D3-96E082495EB4}" type="presOf" srcId="{A8B9558C-A70A-4FD1-94A5-1B20C8CA765B}" destId="{9F5C9846-6ABE-4734-A686-C7E6910075E4}" srcOrd="0" destOrd="0" presId="urn:microsoft.com/office/officeart/2005/8/layout/hierarchy3"/>
    <dgm:cxn modelId="{55B9B67C-3A8B-450B-B032-D95F89F0AA50}" type="presOf" srcId="{5502D30F-C492-4A60-BC02-101F9CD8AC05}" destId="{9F1C2986-29FD-43BA-8573-7B364CEF104E}" srcOrd="0" destOrd="0" presId="urn:microsoft.com/office/officeart/2005/8/layout/hierarchy3"/>
    <dgm:cxn modelId="{850CD5FA-4861-45E4-9129-02FC37BA045B}" type="presOf" srcId="{B84C0038-A4ED-499E-8D26-B766B251738F}" destId="{915A5CFA-AB75-431A-8049-04F35C929700}" srcOrd="0" destOrd="0" presId="urn:microsoft.com/office/officeart/2005/8/layout/hierarchy3"/>
    <dgm:cxn modelId="{42321D46-31D4-4D75-B864-B8B4D4DB905E}" srcId="{404BB8E9-A546-4919-BDE0-1FED5A7DC71F}" destId="{F6D7C7E7-3189-44E3-B46C-5289567657CF}" srcOrd="4" destOrd="0" parTransId="{4D2D5F87-3636-4778-A353-1C05F8C368BF}" sibTransId="{9A8F62F3-8E32-4453-9A6D-7A0E8920C116}"/>
    <dgm:cxn modelId="{B011B4EC-AD59-40E7-AE34-B378D4E36012}" srcId="{30AB6ACC-5292-4176-B199-7E56A0CBFB71}" destId="{A844F78B-CC36-41EE-A3FC-1E2F69800172}" srcOrd="0" destOrd="0" parTransId="{B84C0038-A4ED-499E-8D26-B766B251738F}" sibTransId="{7E2885D9-0FEB-4DE1-8299-BCAC85D9AA1E}"/>
    <dgm:cxn modelId="{F5D49D0B-7808-49E7-8EB3-4432207F9C15}" type="presOf" srcId="{76A3E085-9611-463B-965C-23593AC2391A}" destId="{9C0827C9-BE05-47F3-BBB7-8BB63393E05F}" srcOrd="0" destOrd="0" presId="urn:microsoft.com/office/officeart/2005/8/layout/hierarchy3"/>
    <dgm:cxn modelId="{E766111E-C932-4FBC-85FD-1A062EF5E809}" srcId="{404BB8E9-A546-4919-BDE0-1FED5A7DC71F}" destId="{EE85735F-E5F0-4E5D-94AA-5ADE3A8B3B8B}" srcOrd="2" destOrd="0" parTransId="{3868E713-75AD-4529-90A6-CF492599B238}" sibTransId="{46968DA6-A304-4DFA-BECC-83F1634B81AC}"/>
    <dgm:cxn modelId="{7DE29C79-CE2D-40BD-B3D9-85FC9EDA5C8D}" type="presOf" srcId="{B6BCD431-AFD4-4D8C-BE8C-12BB99A01CEA}" destId="{C6F30A27-E8BB-41BC-970D-1B953C735A78}" srcOrd="0" destOrd="0" presId="urn:microsoft.com/office/officeart/2005/8/layout/hierarchy3"/>
    <dgm:cxn modelId="{142389AA-3559-4AC6-BDEC-B5DE83B7F2FC}" srcId="{76C15867-D6F7-49FF-8D6B-E7B961F1421E}" destId="{CDE334AC-8D08-4A9E-A2E4-1FBCA2BE4847}" srcOrd="0" destOrd="0" parTransId="{3ED72286-4697-403C-9AB7-B7E4BCC9AF8D}" sibTransId="{837B5568-A26C-450C-9C58-8E7C4EC4D79C}"/>
    <dgm:cxn modelId="{6872F3DD-DA71-4B88-9676-AB41DB6032CF}" type="presOf" srcId="{A844F78B-CC36-41EE-A3FC-1E2F69800172}" destId="{E931BB90-7EFE-4494-BD63-C6FAD4045335}" srcOrd="0" destOrd="0" presId="urn:microsoft.com/office/officeart/2005/8/layout/hierarchy3"/>
    <dgm:cxn modelId="{D4B18C35-45B6-4EEC-9195-395BCDAB46FC}" type="presOf" srcId="{CDE334AC-8D08-4A9E-A2E4-1FBCA2BE4847}" destId="{47D5DFDB-25D7-4AED-998B-2022122DBAA8}" srcOrd="0" destOrd="0" presId="urn:microsoft.com/office/officeart/2005/8/layout/hierarchy3"/>
    <dgm:cxn modelId="{FA686548-3ABB-47B1-85EB-8FAC45399390}" type="presOf" srcId="{F6D7C7E7-3189-44E3-B46C-5289567657CF}" destId="{BBEC7B01-148D-4125-B6BB-66B95D82D3D6}" srcOrd="0" destOrd="0" presId="urn:microsoft.com/office/officeart/2005/8/layout/hierarchy3"/>
    <dgm:cxn modelId="{E61D2FAE-B050-4918-9821-DA6461677345}" type="presOf" srcId="{64D67284-9095-4023-BB47-2AA16F208616}" destId="{1A450F13-91AD-4946-80BA-5BB572CACDB5}" srcOrd="0" destOrd="0" presId="urn:microsoft.com/office/officeart/2005/8/layout/hierarchy3"/>
    <dgm:cxn modelId="{348D7925-2A3C-4240-A3CE-03A7760B78C0}" srcId="{F6D7C7E7-3189-44E3-B46C-5289567657CF}" destId="{143D96D7-9417-4E89-9074-CCB7ADB170E6}" srcOrd="0" destOrd="0" parTransId="{2B825382-8B24-4B4D-82C5-A6C3DAC80610}" sibTransId="{2F68727C-4C6B-4A5B-96D2-1D007B56801C}"/>
    <dgm:cxn modelId="{0EB86DCA-C68B-45A6-9B43-F16F9CEB2DB6}" srcId="{0CA9AFF0-9BDE-4954-9EF1-DCF2FB6D6E62}" destId="{A8B9558C-A70A-4FD1-94A5-1B20C8CA765B}" srcOrd="0" destOrd="0" parTransId="{1DAC7611-9417-4DE3-A7D7-CD5BAD5B0683}" sibTransId="{FC2959C5-E491-4C05-A318-845513DACBE8}"/>
    <dgm:cxn modelId="{3FBE6997-1978-4826-99EE-4DA0494DA814}" type="presOf" srcId="{0CA9AFF0-9BDE-4954-9EF1-DCF2FB6D6E62}" destId="{6B45C195-91F6-4115-BF1C-CCBFB23CE3D6}" srcOrd="1" destOrd="0" presId="urn:microsoft.com/office/officeart/2005/8/layout/hierarchy3"/>
    <dgm:cxn modelId="{1481F26B-91A3-4D3E-9250-88A25F7B34FF}" type="presOf" srcId="{1DAC7611-9417-4DE3-A7D7-CD5BAD5B0683}" destId="{B80AB010-568B-4F96-AD42-CB2EB8D31650}" srcOrd="0" destOrd="0" presId="urn:microsoft.com/office/officeart/2005/8/layout/hierarchy3"/>
    <dgm:cxn modelId="{07E8B445-7AF1-4E03-A37B-BBD61B03C2BC}" type="presOf" srcId="{30AB6ACC-5292-4176-B199-7E56A0CBFB71}" destId="{0D612355-09B7-483D-82B9-C4CAAD99C842}" srcOrd="1" destOrd="0" presId="urn:microsoft.com/office/officeart/2005/8/layout/hierarchy3"/>
    <dgm:cxn modelId="{5A81519F-900C-4BB1-9594-E929F752B2AF}" type="presOf" srcId="{2B825382-8B24-4B4D-82C5-A6C3DAC80610}" destId="{70327B5A-14D6-412F-9D80-146A3B6FEAA2}" srcOrd="0" destOrd="0" presId="urn:microsoft.com/office/officeart/2005/8/layout/hierarchy3"/>
    <dgm:cxn modelId="{8AAD7C35-E264-4624-9109-E229CDB3C8B8}" type="presOf" srcId="{E2E3D767-A90A-443D-80C5-3D62547466FD}" destId="{D949B431-F39B-4F42-8998-4EED89E64053}" srcOrd="0" destOrd="0" presId="urn:microsoft.com/office/officeart/2005/8/layout/hierarchy3"/>
    <dgm:cxn modelId="{E3F670F1-25DB-4CF7-87FE-D383B1EA64BB}" type="presParOf" srcId="{10FBBCDC-013F-45B2-B45A-16889CE8F8E8}" destId="{96AFA542-F86E-4AB0-A0C3-FC2C7F0A53A7}" srcOrd="0" destOrd="0" presId="urn:microsoft.com/office/officeart/2005/8/layout/hierarchy3"/>
    <dgm:cxn modelId="{3BF9872C-4FE7-49E3-97DC-3076037BCEB5}" type="presParOf" srcId="{96AFA542-F86E-4AB0-A0C3-FC2C7F0A53A7}" destId="{D61ED385-3123-485B-B434-102C8F14D1F0}" srcOrd="0" destOrd="0" presId="urn:microsoft.com/office/officeart/2005/8/layout/hierarchy3"/>
    <dgm:cxn modelId="{D6FED967-22D5-488B-9C0A-145A1E0AC973}" type="presParOf" srcId="{D61ED385-3123-485B-B434-102C8F14D1F0}" destId="{9F42E807-C2CF-4F51-A946-3BE92A7CED4F}" srcOrd="0" destOrd="0" presId="urn:microsoft.com/office/officeart/2005/8/layout/hierarchy3"/>
    <dgm:cxn modelId="{06F5D432-AB4C-492D-91DD-E69FBF2D822D}" type="presParOf" srcId="{D61ED385-3123-485B-B434-102C8F14D1F0}" destId="{0D612355-09B7-483D-82B9-C4CAAD99C842}" srcOrd="1" destOrd="0" presId="urn:microsoft.com/office/officeart/2005/8/layout/hierarchy3"/>
    <dgm:cxn modelId="{41E791B8-EE52-4489-8181-079C33CCB64E}" type="presParOf" srcId="{96AFA542-F86E-4AB0-A0C3-FC2C7F0A53A7}" destId="{B3064514-A3B4-496F-945C-AF30AE444B52}" srcOrd="1" destOrd="0" presId="urn:microsoft.com/office/officeart/2005/8/layout/hierarchy3"/>
    <dgm:cxn modelId="{301B48F5-408D-45EE-95D6-C839B268EF61}" type="presParOf" srcId="{B3064514-A3B4-496F-945C-AF30AE444B52}" destId="{915A5CFA-AB75-431A-8049-04F35C929700}" srcOrd="0" destOrd="0" presId="urn:microsoft.com/office/officeart/2005/8/layout/hierarchy3"/>
    <dgm:cxn modelId="{9F645A25-8C72-4DD5-B63B-D85654EC162D}" type="presParOf" srcId="{B3064514-A3B4-496F-945C-AF30AE444B52}" destId="{E931BB90-7EFE-4494-BD63-C6FAD4045335}" srcOrd="1" destOrd="0" presId="urn:microsoft.com/office/officeart/2005/8/layout/hierarchy3"/>
    <dgm:cxn modelId="{2B299444-31D9-48CB-9BDD-0473BB1EC758}" type="presParOf" srcId="{10FBBCDC-013F-45B2-B45A-16889CE8F8E8}" destId="{F944EE07-D2F4-4F90-9B73-75EC6F0C0EF6}" srcOrd="1" destOrd="0" presId="urn:microsoft.com/office/officeart/2005/8/layout/hierarchy3"/>
    <dgm:cxn modelId="{BE284366-A4AF-4519-BEF7-79B8210EEDA1}" type="presParOf" srcId="{F944EE07-D2F4-4F90-9B73-75EC6F0C0EF6}" destId="{23A6BA05-6898-475A-A896-C5569E542037}" srcOrd="0" destOrd="0" presId="urn:microsoft.com/office/officeart/2005/8/layout/hierarchy3"/>
    <dgm:cxn modelId="{1BE35290-EDB3-4EDB-AF6C-B382CBEE3EC8}" type="presParOf" srcId="{23A6BA05-6898-475A-A896-C5569E542037}" destId="{C83A02D8-9BDD-4244-BC5A-524B21FB5B65}" srcOrd="0" destOrd="0" presId="urn:microsoft.com/office/officeart/2005/8/layout/hierarchy3"/>
    <dgm:cxn modelId="{EE6EC02B-D5B0-4D8F-8EE4-D88FFB7BF26D}" type="presParOf" srcId="{23A6BA05-6898-475A-A896-C5569E542037}" destId="{6B45C195-91F6-4115-BF1C-CCBFB23CE3D6}" srcOrd="1" destOrd="0" presId="urn:microsoft.com/office/officeart/2005/8/layout/hierarchy3"/>
    <dgm:cxn modelId="{5E89281E-5809-49CD-9031-8BE4DF2B5694}" type="presParOf" srcId="{F944EE07-D2F4-4F90-9B73-75EC6F0C0EF6}" destId="{75037BA8-864A-435D-BE93-2DB242D67E33}" srcOrd="1" destOrd="0" presId="urn:microsoft.com/office/officeart/2005/8/layout/hierarchy3"/>
    <dgm:cxn modelId="{5006F0C2-7F3A-48E1-8E9B-CA574F659519}" type="presParOf" srcId="{75037BA8-864A-435D-BE93-2DB242D67E33}" destId="{B80AB010-568B-4F96-AD42-CB2EB8D31650}" srcOrd="0" destOrd="0" presId="urn:microsoft.com/office/officeart/2005/8/layout/hierarchy3"/>
    <dgm:cxn modelId="{99220328-AADF-4315-9F2F-A59C70A2A449}" type="presParOf" srcId="{75037BA8-864A-435D-BE93-2DB242D67E33}" destId="{9F5C9846-6ABE-4734-A686-C7E6910075E4}" srcOrd="1" destOrd="0" presId="urn:microsoft.com/office/officeart/2005/8/layout/hierarchy3"/>
    <dgm:cxn modelId="{9C8A8536-BC15-47A3-A702-0BC248E19C90}" type="presParOf" srcId="{10FBBCDC-013F-45B2-B45A-16889CE8F8E8}" destId="{ECA663AE-9D88-4867-A6B2-53903FC46F85}" srcOrd="2" destOrd="0" presId="urn:microsoft.com/office/officeart/2005/8/layout/hierarchy3"/>
    <dgm:cxn modelId="{99E2FA3D-C8F2-429E-8E82-7A0093F44BB0}" type="presParOf" srcId="{ECA663AE-9D88-4867-A6B2-53903FC46F85}" destId="{ED44B00C-F2AD-479A-AD97-AAB183F36C81}" srcOrd="0" destOrd="0" presId="urn:microsoft.com/office/officeart/2005/8/layout/hierarchy3"/>
    <dgm:cxn modelId="{A0458CEF-98D4-4BAA-86F1-2391E8382A78}" type="presParOf" srcId="{ED44B00C-F2AD-479A-AD97-AAB183F36C81}" destId="{FEDB3D16-0185-491C-974E-62F099ED3833}" srcOrd="0" destOrd="0" presId="urn:microsoft.com/office/officeart/2005/8/layout/hierarchy3"/>
    <dgm:cxn modelId="{47114A8E-7C2C-415A-B8AC-A6B3DF2E26AC}" type="presParOf" srcId="{ED44B00C-F2AD-479A-AD97-AAB183F36C81}" destId="{AB9BE3E3-E3B3-4077-90CA-6D105EDB96B1}" srcOrd="1" destOrd="0" presId="urn:microsoft.com/office/officeart/2005/8/layout/hierarchy3"/>
    <dgm:cxn modelId="{CE6297D9-8D0C-4E03-949C-AC04DAE353DB}" type="presParOf" srcId="{ECA663AE-9D88-4867-A6B2-53903FC46F85}" destId="{0D4FD754-5B6C-4B36-9338-DD17229A0421}" srcOrd="1" destOrd="0" presId="urn:microsoft.com/office/officeart/2005/8/layout/hierarchy3"/>
    <dgm:cxn modelId="{713CD221-A90B-4459-8766-62D1D3373450}" type="presParOf" srcId="{0D4FD754-5B6C-4B36-9338-DD17229A0421}" destId="{1A450F13-91AD-4946-80BA-5BB572CACDB5}" srcOrd="0" destOrd="0" presId="urn:microsoft.com/office/officeart/2005/8/layout/hierarchy3"/>
    <dgm:cxn modelId="{F07ECF57-84C4-4EFF-AEC5-A410B8C346F9}" type="presParOf" srcId="{0D4FD754-5B6C-4B36-9338-DD17229A0421}" destId="{D949B431-F39B-4F42-8998-4EED89E64053}" srcOrd="1" destOrd="0" presId="urn:microsoft.com/office/officeart/2005/8/layout/hierarchy3"/>
    <dgm:cxn modelId="{41BB3EB1-23DC-4AB4-ACF8-A2D9355121EF}" type="presParOf" srcId="{0D4FD754-5B6C-4B36-9338-DD17229A0421}" destId="{9F1C2986-29FD-43BA-8573-7B364CEF104E}" srcOrd="2" destOrd="0" presId="urn:microsoft.com/office/officeart/2005/8/layout/hierarchy3"/>
    <dgm:cxn modelId="{026497EE-E5AC-484B-827F-1BF2511E5146}" type="presParOf" srcId="{0D4FD754-5B6C-4B36-9338-DD17229A0421}" destId="{DFAD5FFB-617F-424C-9ABB-49E7C194F3DD}" srcOrd="3" destOrd="0" presId="urn:microsoft.com/office/officeart/2005/8/layout/hierarchy3"/>
    <dgm:cxn modelId="{3EF14CCF-CAF1-4328-9707-BE59DD19D135}" type="presParOf" srcId="{10FBBCDC-013F-45B2-B45A-16889CE8F8E8}" destId="{AF37050F-F557-4DCB-8A80-E7D5F26D50C3}" srcOrd="3" destOrd="0" presId="urn:microsoft.com/office/officeart/2005/8/layout/hierarchy3"/>
    <dgm:cxn modelId="{C8466A3B-2ACF-4F6A-83D1-3B582BCEE579}" type="presParOf" srcId="{AF37050F-F557-4DCB-8A80-E7D5F26D50C3}" destId="{1CB6F8C9-F0CF-43A7-A8E1-C8C83422C64A}" srcOrd="0" destOrd="0" presId="urn:microsoft.com/office/officeart/2005/8/layout/hierarchy3"/>
    <dgm:cxn modelId="{FDB6676B-A67A-44AF-8CD7-38A47790A36C}" type="presParOf" srcId="{1CB6F8C9-F0CF-43A7-A8E1-C8C83422C64A}" destId="{828A60AE-861A-4CD2-9CB4-B15799EC5213}" srcOrd="0" destOrd="0" presId="urn:microsoft.com/office/officeart/2005/8/layout/hierarchy3"/>
    <dgm:cxn modelId="{BDF4DC7B-CDE3-4651-B72C-187E424C7324}" type="presParOf" srcId="{1CB6F8C9-F0CF-43A7-A8E1-C8C83422C64A}" destId="{3038F7D3-F95F-4B86-A8EE-759638E2642F}" srcOrd="1" destOrd="0" presId="urn:microsoft.com/office/officeart/2005/8/layout/hierarchy3"/>
    <dgm:cxn modelId="{577F0581-6E6D-47BC-BC52-5913308807E4}" type="presParOf" srcId="{AF37050F-F557-4DCB-8A80-E7D5F26D50C3}" destId="{389015E2-B988-4501-87C2-8CDDB7B8A357}" srcOrd="1" destOrd="0" presId="urn:microsoft.com/office/officeart/2005/8/layout/hierarchy3"/>
    <dgm:cxn modelId="{37E8FBF5-F4AC-4F53-9D25-DC3D75882A53}" type="presParOf" srcId="{389015E2-B988-4501-87C2-8CDDB7B8A357}" destId="{FF1F1D0D-15B7-4157-8C3D-0BA8024FE383}" srcOrd="0" destOrd="0" presId="urn:microsoft.com/office/officeart/2005/8/layout/hierarchy3"/>
    <dgm:cxn modelId="{2103DB91-B165-49A0-A093-98C1FF073229}" type="presParOf" srcId="{389015E2-B988-4501-87C2-8CDDB7B8A357}" destId="{47D5DFDB-25D7-4AED-998B-2022122DBAA8}" srcOrd="1" destOrd="0" presId="urn:microsoft.com/office/officeart/2005/8/layout/hierarchy3"/>
    <dgm:cxn modelId="{73DBDD0C-DF3D-4296-9503-F1328B7E4C6B}" type="presParOf" srcId="{389015E2-B988-4501-87C2-8CDDB7B8A357}" destId="{504E7235-D3B2-4652-880E-744FCCC58A54}" srcOrd="2" destOrd="0" presId="urn:microsoft.com/office/officeart/2005/8/layout/hierarchy3"/>
    <dgm:cxn modelId="{0EF3CFBD-F90E-46C4-A01F-88D2CA5F8BF2}" type="presParOf" srcId="{389015E2-B988-4501-87C2-8CDDB7B8A357}" destId="{C6F30A27-E8BB-41BC-970D-1B953C735A78}" srcOrd="3" destOrd="0" presId="urn:microsoft.com/office/officeart/2005/8/layout/hierarchy3"/>
    <dgm:cxn modelId="{6019A638-F7C6-48E2-91C0-D8A3684E0FCE}" type="presParOf" srcId="{10FBBCDC-013F-45B2-B45A-16889CE8F8E8}" destId="{BAF42015-51F9-4F46-BDB8-2D5D12523A38}" srcOrd="4" destOrd="0" presId="urn:microsoft.com/office/officeart/2005/8/layout/hierarchy3"/>
    <dgm:cxn modelId="{1E9AD9DC-2065-4D2B-BAD2-E4AA32AB8D5F}" type="presParOf" srcId="{BAF42015-51F9-4F46-BDB8-2D5D12523A38}" destId="{AF503664-38B5-4B55-9100-C0DA2409DE55}" srcOrd="0" destOrd="0" presId="urn:microsoft.com/office/officeart/2005/8/layout/hierarchy3"/>
    <dgm:cxn modelId="{651545F8-1510-4BAC-ADB3-966DA38124AE}" type="presParOf" srcId="{AF503664-38B5-4B55-9100-C0DA2409DE55}" destId="{BBEC7B01-148D-4125-B6BB-66B95D82D3D6}" srcOrd="0" destOrd="0" presId="urn:microsoft.com/office/officeart/2005/8/layout/hierarchy3"/>
    <dgm:cxn modelId="{DD18FA6A-5B45-44E8-8480-01880DE67ED1}" type="presParOf" srcId="{AF503664-38B5-4B55-9100-C0DA2409DE55}" destId="{7A91E143-47F0-46C1-9613-96DE9E86F090}" srcOrd="1" destOrd="0" presId="urn:microsoft.com/office/officeart/2005/8/layout/hierarchy3"/>
    <dgm:cxn modelId="{A0B1E11F-64AD-4556-92FB-89AE36EA6E8B}" type="presParOf" srcId="{BAF42015-51F9-4F46-BDB8-2D5D12523A38}" destId="{293F431D-9199-4DE9-B4E6-D27DFC8DCCD7}" srcOrd="1" destOrd="0" presId="urn:microsoft.com/office/officeart/2005/8/layout/hierarchy3"/>
    <dgm:cxn modelId="{4EF26D13-25D3-4113-AF8A-4FAF5D59AF7E}" type="presParOf" srcId="{293F431D-9199-4DE9-B4E6-D27DFC8DCCD7}" destId="{70327B5A-14D6-412F-9D80-146A3B6FEAA2}" srcOrd="0" destOrd="0" presId="urn:microsoft.com/office/officeart/2005/8/layout/hierarchy3"/>
    <dgm:cxn modelId="{587B555C-8688-4158-8AC1-8EC8935D94BE}" type="presParOf" srcId="{293F431D-9199-4DE9-B4E6-D27DFC8DCCD7}" destId="{59E10700-F7F9-426B-8C9F-6E6C5F12943A}" srcOrd="1" destOrd="0" presId="urn:microsoft.com/office/officeart/2005/8/layout/hierarchy3"/>
    <dgm:cxn modelId="{3A0AEBC9-D08F-45ED-8D01-6CD27C9D1BCC}" type="presParOf" srcId="{293F431D-9199-4DE9-B4E6-D27DFC8DCCD7}" destId="{9C0827C9-BE05-47F3-BBB7-8BB63393E05F}" srcOrd="2" destOrd="0" presId="urn:microsoft.com/office/officeart/2005/8/layout/hierarchy3"/>
    <dgm:cxn modelId="{E6AB655C-E13F-49D2-B390-3D219F39D117}" type="presParOf" srcId="{293F431D-9199-4DE9-B4E6-D27DFC8DCCD7}" destId="{F86E5B6B-6690-49DE-8CA7-597BA6163FE5}" srcOrd="3" destOrd="0" presId="urn:microsoft.com/office/officeart/2005/8/layout/hierarchy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42E807-C2CF-4F51-A946-3BE92A7CED4F}">
      <dsp:nvSpPr>
        <dsp:cNvPr id="0" name=""/>
        <dsp:cNvSpPr/>
      </dsp:nvSpPr>
      <dsp:spPr>
        <a:xfrm>
          <a:off x="3423" y="755060"/>
          <a:ext cx="1167258" cy="58362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GB" sz="1200" kern="1200"/>
            <a:t>Confirmation of Pregnancy</a:t>
          </a:r>
        </a:p>
      </dsp:txBody>
      <dsp:txXfrm>
        <a:off x="20517" y="772154"/>
        <a:ext cx="1133070" cy="549441"/>
      </dsp:txXfrm>
    </dsp:sp>
    <dsp:sp modelId="{915A5CFA-AB75-431A-8049-04F35C929700}">
      <dsp:nvSpPr>
        <dsp:cNvPr id="0" name=""/>
        <dsp:cNvSpPr/>
      </dsp:nvSpPr>
      <dsp:spPr>
        <a:xfrm>
          <a:off x="120148" y="1338690"/>
          <a:ext cx="116725" cy="437722"/>
        </a:xfrm>
        <a:custGeom>
          <a:avLst/>
          <a:gdLst/>
          <a:ahLst/>
          <a:cxnLst/>
          <a:rect l="0" t="0" r="0" b="0"/>
          <a:pathLst>
            <a:path>
              <a:moveTo>
                <a:pt x="0" y="0"/>
              </a:moveTo>
              <a:lnTo>
                <a:pt x="0" y="437722"/>
              </a:lnTo>
              <a:lnTo>
                <a:pt x="116725" y="43772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31BB90-7EFE-4494-BD63-C6FAD4045335}">
      <dsp:nvSpPr>
        <dsp:cNvPr id="0" name=""/>
        <dsp:cNvSpPr/>
      </dsp:nvSpPr>
      <dsp:spPr>
        <a:xfrm>
          <a:off x="236874" y="1484597"/>
          <a:ext cx="933807" cy="58362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GB" sz="900" kern="1200"/>
            <a:t>Give 1 unit of FFP.</a:t>
          </a:r>
        </a:p>
      </dsp:txBody>
      <dsp:txXfrm>
        <a:off x="253968" y="1501691"/>
        <a:ext cx="899619" cy="549441"/>
      </dsp:txXfrm>
    </dsp:sp>
    <dsp:sp modelId="{C83A02D8-9BDD-4244-BC5A-524B21FB5B65}">
      <dsp:nvSpPr>
        <dsp:cNvPr id="0" name=""/>
        <dsp:cNvSpPr/>
      </dsp:nvSpPr>
      <dsp:spPr>
        <a:xfrm>
          <a:off x="1462496" y="755060"/>
          <a:ext cx="1167258" cy="58362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GB" sz="1200" b="0" kern="1200"/>
            <a:t>Fetal Heart beats detected	</a:t>
          </a:r>
        </a:p>
      </dsp:txBody>
      <dsp:txXfrm>
        <a:off x="1479590" y="772154"/>
        <a:ext cx="1133070" cy="549441"/>
      </dsp:txXfrm>
    </dsp:sp>
    <dsp:sp modelId="{B80AB010-568B-4F96-AD42-CB2EB8D31650}">
      <dsp:nvSpPr>
        <dsp:cNvPr id="0" name=""/>
        <dsp:cNvSpPr/>
      </dsp:nvSpPr>
      <dsp:spPr>
        <a:xfrm>
          <a:off x="1579222" y="1338690"/>
          <a:ext cx="116725" cy="437722"/>
        </a:xfrm>
        <a:custGeom>
          <a:avLst/>
          <a:gdLst/>
          <a:ahLst/>
          <a:cxnLst/>
          <a:rect l="0" t="0" r="0" b="0"/>
          <a:pathLst>
            <a:path>
              <a:moveTo>
                <a:pt x="0" y="0"/>
              </a:moveTo>
              <a:lnTo>
                <a:pt x="0" y="437722"/>
              </a:lnTo>
              <a:lnTo>
                <a:pt x="116725" y="43772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F5C9846-6ABE-4734-A686-C7E6910075E4}">
      <dsp:nvSpPr>
        <dsp:cNvPr id="0" name=""/>
        <dsp:cNvSpPr/>
      </dsp:nvSpPr>
      <dsp:spPr>
        <a:xfrm>
          <a:off x="1695948" y="1484597"/>
          <a:ext cx="933807" cy="58362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GB" sz="900" b="0" kern="1200"/>
            <a:t>Give 1 unit of FFP</a:t>
          </a:r>
        </a:p>
      </dsp:txBody>
      <dsp:txXfrm>
        <a:off x="1713042" y="1501691"/>
        <a:ext cx="899619" cy="549441"/>
      </dsp:txXfrm>
    </dsp:sp>
    <dsp:sp modelId="{FEDB3D16-0185-491C-974E-62F099ED3833}">
      <dsp:nvSpPr>
        <dsp:cNvPr id="0" name=""/>
        <dsp:cNvSpPr/>
      </dsp:nvSpPr>
      <dsp:spPr>
        <a:xfrm>
          <a:off x="2921570" y="755060"/>
          <a:ext cx="1167258" cy="58362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GB" sz="1200" kern="1200"/>
            <a:t>Up to 28 weeks gestation</a:t>
          </a:r>
        </a:p>
      </dsp:txBody>
      <dsp:txXfrm>
        <a:off x="2938664" y="772154"/>
        <a:ext cx="1133070" cy="549441"/>
      </dsp:txXfrm>
    </dsp:sp>
    <dsp:sp modelId="{1A450F13-91AD-4946-80BA-5BB572CACDB5}">
      <dsp:nvSpPr>
        <dsp:cNvPr id="0" name=""/>
        <dsp:cNvSpPr/>
      </dsp:nvSpPr>
      <dsp:spPr>
        <a:xfrm>
          <a:off x="3038296" y="1338690"/>
          <a:ext cx="116725" cy="437722"/>
        </a:xfrm>
        <a:custGeom>
          <a:avLst/>
          <a:gdLst/>
          <a:ahLst/>
          <a:cxnLst/>
          <a:rect l="0" t="0" r="0" b="0"/>
          <a:pathLst>
            <a:path>
              <a:moveTo>
                <a:pt x="0" y="0"/>
              </a:moveTo>
              <a:lnTo>
                <a:pt x="0" y="437722"/>
              </a:lnTo>
              <a:lnTo>
                <a:pt x="116725" y="43772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949B431-F39B-4F42-8998-4EED89E64053}">
      <dsp:nvSpPr>
        <dsp:cNvPr id="0" name=""/>
        <dsp:cNvSpPr/>
      </dsp:nvSpPr>
      <dsp:spPr>
        <a:xfrm>
          <a:off x="3155022" y="1484597"/>
          <a:ext cx="933807" cy="58362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GB" sz="900" kern="1200"/>
            <a:t>Give 1 unit of FFP every 4 weeks</a:t>
          </a:r>
        </a:p>
      </dsp:txBody>
      <dsp:txXfrm>
        <a:off x="3172116" y="1501691"/>
        <a:ext cx="899619" cy="549441"/>
      </dsp:txXfrm>
    </dsp:sp>
    <dsp:sp modelId="{9F1C2986-29FD-43BA-8573-7B364CEF104E}">
      <dsp:nvSpPr>
        <dsp:cNvPr id="0" name=""/>
        <dsp:cNvSpPr/>
      </dsp:nvSpPr>
      <dsp:spPr>
        <a:xfrm>
          <a:off x="3038296" y="1338690"/>
          <a:ext cx="116725" cy="1167258"/>
        </a:xfrm>
        <a:custGeom>
          <a:avLst/>
          <a:gdLst/>
          <a:ahLst/>
          <a:cxnLst/>
          <a:rect l="0" t="0" r="0" b="0"/>
          <a:pathLst>
            <a:path>
              <a:moveTo>
                <a:pt x="0" y="0"/>
              </a:moveTo>
              <a:lnTo>
                <a:pt x="0" y="1167258"/>
              </a:lnTo>
              <a:lnTo>
                <a:pt x="116725" y="116725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AD5FFB-617F-424C-9ABB-49E7C194F3DD}">
      <dsp:nvSpPr>
        <dsp:cNvPr id="0" name=""/>
        <dsp:cNvSpPr/>
      </dsp:nvSpPr>
      <dsp:spPr>
        <a:xfrm>
          <a:off x="3155022" y="2214134"/>
          <a:ext cx="933807" cy="58362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GB" sz="900" kern="1200"/>
            <a:t>High-risk pregnancy clinic monitoring every 4 weeks</a:t>
          </a:r>
        </a:p>
      </dsp:txBody>
      <dsp:txXfrm>
        <a:off x="3172116" y="2231228"/>
        <a:ext cx="899619" cy="549441"/>
      </dsp:txXfrm>
    </dsp:sp>
    <dsp:sp modelId="{828A60AE-861A-4CD2-9CB4-B15799EC5213}">
      <dsp:nvSpPr>
        <dsp:cNvPr id="0" name=""/>
        <dsp:cNvSpPr/>
      </dsp:nvSpPr>
      <dsp:spPr>
        <a:xfrm>
          <a:off x="4380644" y="755060"/>
          <a:ext cx="1167258" cy="58362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GB" sz="1200" kern="1200"/>
            <a:t>28 - 36 weeks gestation</a:t>
          </a:r>
        </a:p>
      </dsp:txBody>
      <dsp:txXfrm>
        <a:off x="4397738" y="772154"/>
        <a:ext cx="1133070" cy="549441"/>
      </dsp:txXfrm>
    </dsp:sp>
    <dsp:sp modelId="{FF1F1D0D-15B7-4157-8C3D-0BA8024FE383}">
      <dsp:nvSpPr>
        <dsp:cNvPr id="0" name=""/>
        <dsp:cNvSpPr/>
      </dsp:nvSpPr>
      <dsp:spPr>
        <a:xfrm>
          <a:off x="4497370" y="1338690"/>
          <a:ext cx="116725" cy="437722"/>
        </a:xfrm>
        <a:custGeom>
          <a:avLst/>
          <a:gdLst/>
          <a:ahLst/>
          <a:cxnLst/>
          <a:rect l="0" t="0" r="0" b="0"/>
          <a:pathLst>
            <a:path>
              <a:moveTo>
                <a:pt x="0" y="0"/>
              </a:moveTo>
              <a:lnTo>
                <a:pt x="0" y="437722"/>
              </a:lnTo>
              <a:lnTo>
                <a:pt x="116725" y="43772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7D5DFDB-25D7-4AED-998B-2022122DBAA8}">
      <dsp:nvSpPr>
        <dsp:cNvPr id="0" name=""/>
        <dsp:cNvSpPr/>
      </dsp:nvSpPr>
      <dsp:spPr>
        <a:xfrm>
          <a:off x="4614096" y="1484597"/>
          <a:ext cx="933807" cy="58362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GB" sz="900" kern="1200"/>
            <a:t>Give 1 unit of FFP every 4 weeks</a:t>
          </a:r>
        </a:p>
      </dsp:txBody>
      <dsp:txXfrm>
        <a:off x="4631190" y="1501691"/>
        <a:ext cx="899619" cy="549441"/>
      </dsp:txXfrm>
    </dsp:sp>
    <dsp:sp modelId="{504E7235-D3B2-4652-880E-744FCCC58A54}">
      <dsp:nvSpPr>
        <dsp:cNvPr id="0" name=""/>
        <dsp:cNvSpPr/>
      </dsp:nvSpPr>
      <dsp:spPr>
        <a:xfrm>
          <a:off x="4497370" y="1338690"/>
          <a:ext cx="116725" cy="1167258"/>
        </a:xfrm>
        <a:custGeom>
          <a:avLst/>
          <a:gdLst/>
          <a:ahLst/>
          <a:cxnLst/>
          <a:rect l="0" t="0" r="0" b="0"/>
          <a:pathLst>
            <a:path>
              <a:moveTo>
                <a:pt x="0" y="0"/>
              </a:moveTo>
              <a:lnTo>
                <a:pt x="0" y="1167258"/>
              </a:lnTo>
              <a:lnTo>
                <a:pt x="116725" y="116725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6F30A27-E8BB-41BC-970D-1B953C735A78}">
      <dsp:nvSpPr>
        <dsp:cNvPr id="0" name=""/>
        <dsp:cNvSpPr/>
      </dsp:nvSpPr>
      <dsp:spPr>
        <a:xfrm>
          <a:off x="4614096" y="2214134"/>
          <a:ext cx="933807" cy="58362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GB" sz="900" kern="1200"/>
            <a:t>High-risk pregnancy clinic monitoring every 2 weeks</a:t>
          </a:r>
        </a:p>
      </dsp:txBody>
      <dsp:txXfrm>
        <a:off x="4631190" y="2231228"/>
        <a:ext cx="899619" cy="549441"/>
      </dsp:txXfrm>
    </dsp:sp>
    <dsp:sp modelId="{BBEC7B01-148D-4125-B6BB-66B95D82D3D6}">
      <dsp:nvSpPr>
        <dsp:cNvPr id="0" name=""/>
        <dsp:cNvSpPr/>
      </dsp:nvSpPr>
      <dsp:spPr>
        <a:xfrm>
          <a:off x="5839717" y="755060"/>
          <a:ext cx="1167258" cy="58362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GB" sz="1200" kern="1200"/>
            <a:t>36 weeks - delivery</a:t>
          </a:r>
        </a:p>
      </dsp:txBody>
      <dsp:txXfrm>
        <a:off x="5856811" y="772154"/>
        <a:ext cx="1133070" cy="549441"/>
      </dsp:txXfrm>
    </dsp:sp>
    <dsp:sp modelId="{70327B5A-14D6-412F-9D80-146A3B6FEAA2}">
      <dsp:nvSpPr>
        <dsp:cNvPr id="0" name=""/>
        <dsp:cNvSpPr/>
      </dsp:nvSpPr>
      <dsp:spPr>
        <a:xfrm>
          <a:off x="5956443" y="1338690"/>
          <a:ext cx="116725" cy="437722"/>
        </a:xfrm>
        <a:custGeom>
          <a:avLst/>
          <a:gdLst/>
          <a:ahLst/>
          <a:cxnLst/>
          <a:rect l="0" t="0" r="0" b="0"/>
          <a:pathLst>
            <a:path>
              <a:moveTo>
                <a:pt x="0" y="0"/>
              </a:moveTo>
              <a:lnTo>
                <a:pt x="0" y="437722"/>
              </a:lnTo>
              <a:lnTo>
                <a:pt x="116725" y="43772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9E10700-F7F9-426B-8C9F-6E6C5F12943A}">
      <dsp:nvSpPr>
        <dsp:cNvPr id="0" name=""/>
        <dsp:cNvSpPr/>
      </dsp:nvSpPr>
      <dsp:spPr>
        <a:xfrm>
          <a:off x="6073169" y="1484597"/>
          <a:ext cx="933807" cy="58362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GB" sz="900" kern="1200"/>
            <a:t>Give 1 unit of FFP every 4 weeks</a:t>
          </a:r>
        </a:p>
      </dsp:txBody>
      <dsp:txXfrm>
        <a:off x="6090263" y="1501691"/>
        <a:ext cx="899619" cy="549441"/>
      </dsp:txXfrm>
    </dsp:sp>
    <dsp:sp modelId="{9C0827C9-BE05-47F3-BBB7-8BB63393E05F}">
      <dsp:nvSpPr>
        <dsp:cNvPr id="0" name=""/>
        <dsp:cNvSpPr/>
      </dsp:nvSpPr>
      <dsp:spPr>
        <a:xfrm>
          <a:off x="5956443" y="1338690"/>
          <a:ext cx="116725" cy="1167258"/>
        </a:xfrm>
        <a:custGeom>
          <a:avLst/>
          <a:gdLst/>
          <a:ahLst/>
          <a:cxnLst/>
          <a:rect l="0" t="0" r="0" b="0"/>
          <a:pathLst>
            <a:path>
              <a:moveTo>
                <a:pt x="0" y="0"/>
              </a:moveTo>
              <a:lnTo>
                <a:pt x="0" y="1167258"/>
              </a:lnTo>
              <a:lnTo>
                <a:pt x="116725" y="116725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6E5B6B-6690-49DE-8CA7-597BA6163FE5}">
      <dsp:nvSpPr>
        <dsp:cNvPr id="0" name=""/>
        <dsp:cNvSpPr/>
      </dsp:nvSpPr>
      <dsp:spPr>
        <a:xfrm>
          <a:off x="6073169" y="2214134"/>
          <a:ext cx="933807" cy="58362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GB" sz="900" kern="1200"/>
            <a:t>High-risk pregnancy clinic monitoring every week</a:t>
          </a:r>
        </a:p>
      </dsp:txBody>
      <dsp:txXfrm>
        <a:off x="6090263" y="2231228"/>
        <a:ext cx="899619" cy="54944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09C78CC-4D92-4ED5-A6DD-60E2DBA77051}">
  <we:reference id="f78a3046-9e99-4300-aa2b-5814002b01a2" version="1.16.0.0" store="EXCatalog" storeType="EXCatalog"/>
  <we:alternateReferences>
    <we:reference id="WA104382081" version="1.16.0.0" store="en-GB" storeType="OMEX"/>
  </we:alternateReferences>
  <we:properties>
    <we:property name="MENDELEY_CITATIONS_STYLE" value="&quot;https://www.zotero.org/styles/harvard-kings-college-london&quot;"/>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1DB6-4848-46CB-BB05-C65AE6CB9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17253</Words>
  <Characters>98346</Characters>
  <Application>Microsoft Office Word</Application>
  <DocSecurity>0</DocSecurity>
  <Lines>819</Lines>
  <Paragraphs>230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115369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Alaa</dc:creator>
  <cp:lastModifiedBy>Alaa</cp:lastModifiedBy>
  <cp:revision>2</cp:revision>
  <dcterms:created xsi:type="dcterms:W3CDTF">2021-10-01T14:26:00Z</dcterms:created>
  <dcterms:modified xsi:type="dcterms:W3CDTF">2021-10-01T14:26:00Z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http://www.zotero.org/styles/bmj-case-reports</vt:lpwstr>
  </property>
  <property fmtid="{D5CDD505-2E9C-101B-9397-08002B2CF9AE}" pid="9" name="Mendeley Recent Style Name 3_1">
    <vt:lpwstr>BMJ Case Reports</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Citation Style_1">
    <vt:lpwstr>http://www.zotero.org/styles/bmj-case-reports</vt:lpwstr>
  </property>
  <property fmtid="{D5CDD505-2E9C-101B-9397-08002B2CF9AE}" pid="23" name="Mendeley Document_1">
    <vt:lpwstr>True</vt:lpwstr>
  </property>
  <property fmtid="{D5CDD505-2E9C-101B-9397-08002B2CF9AE}" pid="24" name="Mendeley Unique User Id_1">
    <vt:lpwstr>f061f22a-d68f-3f06-b451-30144c214825</vt:lpwstr>
  </property>
</Properties>
</file>