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010" w:type="dxa"/>
        <w:tblInd w:w="-815" w:type="dxa"/>
        <w:tblLook w:val="04A0" w:firstRow="1" w:lastRow="0" w:firstColumn="1" w:lastColumn="0" w:noHBand="0" w:noVBand="1"/>
      </w:tblPr>
      <w:tblGrid>
        <w:gridCol w:w="1424"/>
        <w:gridCol w:w="9586"/>
      </w:tblGrid>
      <w:tr w:rsidR="00814B79" w:rsidRPr="00A44201" w14:paraId="19667B8C" w14:textId="77777777" w:rsidTr="00470B70">
        <w:trPr>
          <w:trHeight w:val="485"/>
        </w:trPr>
        <w:tc>
          <w:tcPr>
            <w:tcW w:w="11010" w:type="dxa"/>
            <w:gridSpan w:val="2"/>
            <w:shd w:val="clear" w:color="auto" w:fill="538135" w:themeFill="accent6" w:themeFillShade="BF"/>
            <w:vAlign w:val="center"/>
          </w:tcPr>
          <w:p w14:paraId="165015F1" w14:textId="005A6A21" w:rsidR="00814B79" w:rsidRPr="00A44201" w:rsidRDefault="00470B70" w:rsidP="00814B79">
            <w:pPr>
              <w:jc w:val="center"/>
              <w:rPr>
                <w:rFonts w:ascii="Calibri" w:hAnsi="Calibri"/>
                <w:sz w:val="22"/>
                <w:szCs w:val="22"/>
              </w:rPr>
            </w:pPr>
            <w:r>
              <w:rPr>
                <w:rFonts w:ascii="Calibri" w:hAnsi="Calibri"/>
                <w:b/>
                <w:bCs/>
                <w:color w:val="FFFFFF" w:themeColor="background1"/>
                <w:sz w:val="22"/>
                <w:szCs w:val="22"/>
                <w:lang w:val="en-US"/>
              </w:rPr>
              <w:t>ABSTRACT</w:t>
            </w:r>
          </w:p>
        </w:tc>
      </w:tr>
      <w:tr w:rsidR="00A44201" w:rsidRPr="00A44201" w14:paraId="0167E0B1" w14:textId="77777777" w:rsidTr="00470B70">
        <w:trPr>
          <w:trHeight w:val="77"/>
        </w:trPr>
        <w:tc>
          <w:tcPr>
            <w:tcW w:w="1424" w:type="dxa"/>
            <w:tcBorders>
              <w:top w:val="single" w:sz="4" w:space="0" w:color="000000" w:themeColor="text1"/>
            </w:tcBorders>
          </w:tcPr>
          <w:p w14:paraId="2D8B9C4E" w14:textId="77C2A139" w:rsidR="00A44201" w:rsidRPr="00A44201" w:rsidRDefault="00A44201" w:rsidP="00A44201">
            <w:pPr>
              <w:jc w:val="both"/>
              <w:rPr>
                <w:rFonts w:ascii="Calibri" w:hAnsi="Calibri"/>
                <w:b/>
                <w:bCs/>
                <w:sz w:val="22"/>
                <w:szCs w:val="22"/>
                <w:lang w:val="en-US"/>
              </w:rPr>
            </w:pPr>
            <w:r w:rsidRPr="00A44201">
              <w:rPr>
                <w:rFonts w:ascii="Calibri" w:hAnsi="Calibri"/>
                <w:b/>
                <w:bCs/>
                <w:sz w:val="22"/>
                <w:szCs w:val="22"/>
                <w:lang w:val="en-US"/>
              </w:rPr>
              <w:t>TITLE</w:t>
            </w:r>
          </w:p>
        </w:tc>
        <w:tc>
          <w:tcPr>
            <w:tcW w:w="9586" w:type="dxa"/>
          </w:tcPr>
          <w:p w14:paraId="7AEC3EFF" w14:textId="77777777" w:rsidR="00A44201" w:rsidRPr="00A44201" w:rsidRDefault="00A44201" w:rsidP="00A44201">
            <w:pPr>
              <w:jc w:val="both"/>
              <w:rPr>
                <w:rFonts w:ascii="Calibri" w:hAnsi="Calibri"/>
                <w:bCs/>
                <w:sz w:val="22"/>
                <w:szCs w:val="22"/>
                <w:lang w:val="en-US"/>
              </w:rPr>
            </w:pPr>
            <w:r w:rsidRPr="00A44201">
              <w:rPr>
                <w:rFonts w:ascii="Calibri" w:hAnsi="Calibri"/>
                <w:bCs/>
                <w:sz w:val="22"/>
                <w:szCs w:val="22"/>
                <w:lang w:val="en-US"/>
              </w:rPr>
              <w:t xml:space="preserve">Acceptability of Telemedicine among Patients undergoing Prenatal and Postnatal Care </w:t>
            </w:r>
          </w:p>
          <w:p w14:paraId="4F155B99" w14:textId="5439BDAA" w:rsidR="00A44201" w:rsidRPr="00A44201" w:rsidRDefault="00A44201" w:rsidP="00A44201">
            <w:pPr>
              <w:jc w:val="both"/>
              <w:rPr>
                <w:rFonts w:ascii="Calibri" w:hAnsi="Calibri" w:cstheme="minorHAnsi"/>
                <w:bCs/>
                <w:sz w:val="22"/>
                <w:szCs w:val="22"/>
                <w:lang w:val="en-US"/>
              </w:rPr>
            </w:pPr>
            <w:r w:rsidRPr="00A44201">
              <w:rPr>
                <w:rFonts w:ascii="Calibri" w:hAnsi="Calibri"/>
                <w:bCs/>
                <w:sz w:val="22"/>
                <w:szCs w:val="22"/>
                <w:lang w:val="en-US"/>
              </w:rPr>
              <w:t>in the Setting of the COVID-19 Pandemic</w:t>
            </w:r>
          </w:p>
        </w:tc>
      </w:tr>
      <w:tr w:rsidR="00A44201" w:rsidRPr="00A44201" w14:paraId="3EAC4E92" w14:textId="77777777" w:rsidTr="00470B70">
        <w:tc>
          <w:tcPr>
            <w:tcW w:w="1424" w:type="dxa"/>
          </w:tcPr>
          <w:p w14:paraId="33EC4EB2" w14:textId="27ABF795" w:rsidR="00A44201" w:rsidRPr="00A44201" w:rsidRDefault="00A44201" w:rsidP="00A44201">
            <w:pPr>
              <w:jc w:val="both"/>
              <w:rPr>
                <w:rFonts w:ascii="Calibri" w:hAnsi="Calibri"/>
                <w:b/>
                <w:bCs/>
                <w:sz w:val="22"/>
                <w:szCs w:val="22"/>
                <w:lang w:val="en-US"/>
              </w:rPr>
            </w:pPr>
            <w:r w:rsidRPr="00A44201">
              <w:rPr>
                <w:rFonts w:ascii="Calibri" w:hAnsi="Calibri"/>
                <w:b/>
                <w:bCs/>
                <w:sz w:val="22"/>
                <w:szCs w:val="22"/>
                <w:lang w:val="en-US"/>
              </w:rPr>
              <w:t>AUTHOR/S</w:t>
            </w:r>
          </w:p>
        </w:tc>
        <w:tc>
          <w:tcPr>
            <w:tcW w:w="9586" w:type="dxa"/>
          </w:tcPr>
          <w:p w14:paraId="0B93C2FE" w14:textId="7C530F0E" w:rsidR="00A44201" w:rsidRPr="00A44201" w:rsidRDefault="00A44201" w:rsidP="00A44201">
            <w:pPr>
              <w:jc w:val="both"/>
              <w:rPr>
                <w:rFonts w:ascii="Calibri" w:hAnsi="Calibri"/>
                <w:bCs/>
                <w:sz w:val="22"/>
                <w:szCs w:val="22"/>
                <w:lang w:val="en-US"/>
              </w:rPr>
            </w:pPr>
            <w:r w:rsidRPr="00A44201">
              <w:rPr>
                <w:rFonts w:ascii="Calibri" w:hAnsi="Calibri"/>
                <w:bCs/>
                <w:sz w:val="22"/>
                <w:szCs w:val="22"/>
                <w:lang w:val="en-US"/>
              </w:rPr>
              <w:t xml:space="preserve">Ivy Lorraine E. </w:t>
            </w:r>
            <w:proofErr w:type="spellStart"/>
            <w:r w:rsidRPr="00A44201">
              <w:rPr>
                <w:rFonts w:ascii="Calibri" w:hAnsi="Calibri"/>
                <w:bCs/>
                <w:sz w:val="22"/>
                <w:szCs w:val="22"/>
                <w:lang w:val="en-US"/>
              </w:rPr>
              <w:t>Quiñones</w:t>
            </w:r>
            <w:proofErr w:type="spellEnd"/>
            <w:r w:rsidRPr="00A44201">
              <w:rPr>
                <w:rFonts w:ascii="Calibri" w:hAnsi="Calibri"/>
                <w:bCs/>
                <w:sz w:val="22"/>
                <w:szCs w:val="22"/>
                <w:lang w:val="en-US"/>
              </w:rPr>
              <w:t xml:space="preserve">, </w:t>
            </w:r>
            <w:bookmarkStart w:id="0" w:name="_GoBack"/>
            <w:bookmarkEnd w:id="0"/>
            <w:r w:rsidRPr="00A44201">
              <w:rPr>
                <w:rFonts w:ascii="Calibri" w:hAnsi="Calibri"/>
                <w:bCs/>
                <w:sz w:val="22"/>
                <w:szCs w:val="22"/>
                <w:lang w:val="en-US"/>
              </w:rPr>
              <w:t xml:space="preserve">Virgilio M. </w:t>
            </w:r>
            <w:proofErr w:type="spellStart"/>
            <w:r w:rsidRPr="00A44201">
              <w:rPr>
                <w:rFonts w:ascii="Calibri" w:hAnsi="Calibri"/>
                <w:bCs/>
                <w:sz w:val="22"/>
                <w:szCs w:val="22"/>
                <w:lang w:val="en-US"/>
              </w:rPr>
              <w:t>Novero</w:t>
            </w:r>
            <w:proofErr w:type="spellEnd"/>
            <w:r w:rsidRPr="00A44201">
              <w:rPr>
                <w:rFonts w:ascii="Calibri" w:hAnsi="Calibri"/>
                <w:bCs/>
                <w:sz w:val="22"/>
                <w:szCs w:val="22"/>
                <w:lang w:val="en-US"/>
              </w:rPr>
              <w:t xml:space="preserve"> Jr.</w:t>
            </w:r>
          </w:p>
        </w:tc>
      </w:tr>
      <w:tr w:rsidR="00A44201" w:rsidRPr="00A44201" w14:paraId="1158AF1C" w14:textId="77777777" w:rsidTr="00470B70">
        <w:trPr>
          <w:trHeight w:val="77"/>
        </w:trPr>
        <w:tc>
          <w:tcPr>
            <w:tcW w:w="1424" w:type="dxa"/>
            <w:tcBorders>
              <w:bottom w:val="single" w:sz="4" w:space="0" w:color="D0CECE"/>
              <w:right w:val="single" w:sz="4" w:space="0" w:color="000000" w:themeColor="text1"/>
            </w:tcBorders>
          </w:tcPr>
          <w:p w14:paraId="72AB753A" w14:textId="77777777" w:rsidR="00A44201" w:rsidRPr="00A44201" w:rsidRDefault="00A44201" w:rsidP="00A44201">
            <w:pPr>
              <w:jc w:val="both"/>
              <w:rPr>
                <w:rFonts w:ascii="Calibri" w:hAnsi="Calibri"/>
                <w:sz w:val="22"/>
                <w:szCs w:val="22"/>
                <w:lang w:val="en-US"/>
              </w:rPr>
            </w:pPr>
            <w:r w:rsidRPr="00A44201">
              <w:rPr>
                <w:rFonts w:ascii="Calibri" w:hAnsi="Calibri"/>
                <w:sz w:val="22"/>
                <w:szCs w:val="22"/>
                <w:lang w:val="en-US"/>
              </w:rPr>
              <w:t>Introduction</w:t>
            </w:r>
          </w:p>
        </w:tc>
        <w:tc>
          <w:tcPr>
            <w:tcW w:w="9586" w:type="dxa"/>
            <w:tcBorders>
              <w:left w:val="single" w:sz="4" w:space="0" w:color="000000" w:themeColor="text1"/>
              <w:bottom w:val="single" w:sz="4" w:space="0" w:color="D0CECE"/>
            </w:tcBorders>
          </w:tcPr>
          <w:p w14:paraId="36BD259C" w14:textId="11A08FBB" w:rsidR="00A44201" w:rsidRPr="00A44201" w:rsidRDefault="00A44201" w:rsidP="00A44201">
            <w:pPr>
              <w:jc w:val="both"/>
              <w:rPr>
                <w:rFonts w:ascii="Calibri" w:hAnsi="Calibri"/>
                <w:bCs/>
                <w:sz w:val="22"/>
                <w:szCs w:val="22"/>
                <w:lang w:val="en-US"/>
              </w:rPr>
            </w:pPr>
            <w:r w:rsidRPr="00A44201">
              <w:rPr>
                <w:rFonts w:ascii="Calibri" w:hAnsi="Calibri" w:cstheme="minorHAnsi"/>
                <w:bCs/>
                <w:sz w:val="22"/>
                <w:szCs w:val="22"/>
              </w:rPr>
              <w:t>While COVID-19 spreads rapidly around the world, innovative means to provide continuing prenatal care are being developed to monitor maternal and fetal health while minimizing disease transmission. Telemedicine is one platform by which patients are provided the necessary care safely as the pandemic rages.</w:t>
            </w:r>
          </w:p>
        </w:tc>
      </w:tr>
      <w:tr w:rsidR="00A44201" w:rsidRPr="00A44201" w14:paraId="5C29A1AF" w14:textId="77777777" w:rsidTr="00470B70">
        <w:trPr>
          <w:trHeight w:val="77"/>
        </w:trPr>
        <w:tc>
          <w:tcPr>
            <w:tcW w:w="1424" w:type="dxa"/>
            <w:tcBorders>
              <w:top w:val="single" w:sz="4" w:space="0" w:color="D0CECE"/>
              <w:bottom w:val="single" w:sz="4" w:space="0" w:color="D0CECE" w:themeColor="background2" w:themeShade="E6"/>
              <w:right w:val="single" w:sz="4" w:space="0" w:color="000000" w:themeColor="text1"/>
            </w:tcBorders>
          </w:tcPr>
          <w:p w14:paraId="3D95F26B" w14:textId="1F7C90E5" w:rsidR="00A44201" w:rsidRPr="00A44201" w:rsidRDefault="00A44201" w:rsidP="00A44201">
            <w:pPr>
              <w:jc w:val="both"/>
              <w:rPr>
                <w:rFonts w:ascii="Calibri" w:hAnsi="Calibri"/>
                <w:sz w:val="22"/>
                <w:szCs w:val="22"/>
                <w:lang w:val="en-US"/>
              </w:rPr>
            </w:pPr>
            <w:r w:rsidRPr="00A44201">
              <w:rPr>
                <w:rFonts w:ascii="Calibri" w:hAnsi="Calibri"/>
                <w:sz w:val="22"/>
                <w:szCs w:val="22"/>
                <w:lang w:val="en-US"/>
              </w:rPr>
              <w:t>Objectives</w:t>
            </w:r>
          </w:p>
        </w:tc>
        <w:tc>
          <w:tcPr>
            <w:tcW w:w="9586" w:type="dxa"/>
            <w:tcBorders>
              <w:top w:val="single" w:sz="4" w:space="0" w:color="D0CECE"/>
              <w:left w:val="single" w:sz="4" w:space="0" w:color="000000" w:themeColor="text1"/>
              <w:bottom w:val="single" w:sz="4" w:space="0" w:color="D0CECE" w:themeColor="background2" w:themeShade="E6"/>
            </w:tcBorders>
          </w:tcPr>
          <w:p w14:paraId="3C81D733" w14:textId="56ED0376" w:rsidR="00A44201" w:rsidRPr="00A44201" w:rsidRDefault="00A44201" w:rsidP="00A44201">
            <w:pPr>
              <w:jc w:val="both"/>
              <w:rPr>
                <w:rFonts w:ascii="Calibri" w:hAnsi="Calibri"/>
                <w:bCs/>
                <w:sz w:val="22"/>
                <w:szCs w:val="22"/>
                <w:lang w:val="en-US"/>
              </w:rPr>
            </w:pPr>
            <w:r w:rsidRPr="00A44201">
              <w:rPr>
                <w:rFonts w:ascii="Calibri" w:hAnsi="Calibri"/>
                <w:bCs/>
                <w:sz w:val="22"/>
                <w:szCs w:val="22"/>
                <w:lang w:val="en-US"/>
              </w:rPr>
              <w:t>To evaluate acceptability of telemedicine in prenatal and postnatal care in the setting of Covid-19 pandemic</w:t>
            </w:r>
            <w:r w:rsidR="00AC1D88">
              <w:rPr>
                <w:rFonts w:ascii="Calibri" w:hAnsi="Calibri"/>
                <w:bCs/>
                <w:sz w:val="22"/>
                <w:szCs w:val="22"/>
                <w:lang w:val="en-US"/>
              </w:rPr>
              <w:t xml:space="preserve"> </w:t>
            </w:r>
            <w:r w:rsidRPr="00A44201">
              <w:rPr>
                <w:rFonts w:ascii="Calibri" w:hAnsi="Calibri"/>
                <w:bCs/>
                <w:sz w:val="22"/>
                <w:szCs w:val="22"/>
                <w:lang w:val="en-US"/>
              </w:rPr>
              <w:t>based on</w:t>
            </w:r>
            <w:r w:rsidR="00AC1D88">
              <w:rPr>
                <w:rFonts w:ascii="Calibri" w:hAnsi="Calibri"/>
                <w:bCs/>
                <w:sz w:val="22"/>
                <w:szCs w:val="22"/>
                <w:lang w:val="en-US"/>
              </w:rPr>
              <w:t xml:space="preserve"> e</w:t>
            </w:r>
            <w:r w:rsidRPr="00A44201">
              <w:rPr>
                <w:rFonts w:ascii="Calibri" w:hAnsi="Calibri"/>
                <w:bCs/>
                <w:sz w:val="22"/>
                <w:szCs w:val="22"/>
                <w:lang w:val="en-US"/>
              </w:rPr>
              <w:t>fficiency</w:t>
            </w:r>
            <w:r w:rsidR="00AC1D88">
              <w:rPr>
                <w:rFonts w:ascii="Calibri" w:hAnsi="Calibri"/>
                <w:bCs/>
                <w:sz w:val="22"/>
                <w:szCs w:val="22"/>
                <w:lang w:val="en-US"/>
              </w:rPr>
              <w:t>, f</w:t>
            </w:r>
            <w:r w:rsidRPr="00A44201">
              <w:rPr>
                <w:rFonts w:ascii="Calibri" w:hAnsi="Calibri"/>
                <w:bCs/>
                <w:sz w:val="22"/>
                <w:szCs w:val="22"/>
                <w:lang w:val="en-US"/>
              </w:rPr>
              <w:t>inancial cost</w:t>
            </w:r>
            <w:r w:rsidR="00AC1D88">
              <w:rPr>
                <w:rFonts w:ascii="Calibri" w:hAnsi="Calibri"/>
                <w:bCs/>
                <w:sz w:val="22"/>
                <w:szCs w:val="22"/>
                <w:lang w:val="en-US"/>
              </w:rPr>
              <w:t>, r</w:t>
            </w:r>
            <w:r w:rsidRPr="00A44201">
              <w:rPr>
                <w:rFonts w:ascii="Calibri" w:hAnsi="Calibri"/>
                <w:bCs/>
                <w:sz w:val="22"/>
                <w:szCs w:val="22"/>
                <w:lang w:val="en-US"/>
              </w:rPr>
              <w:t>eliability</w:t>
            </w:r>
            <w:r w:rsidR="00AC1D88">
              <w:rPr>
                <w:rFonts w:ascii="Calibri" w:hAnsi="Calibri"/>
                <w:bCs/>
                <w:sz w:val="22"/>
                <w:szCs w:val="22"/>
                <w:lang w:val="en-US"/>
              </w:rPr>
              <w:t>, p</w:t>
            </w:r>
            <w:r w:rsidRPr="00A44201">
              <w:rPr>
                <w:rFonts w:ascii="Calibri" w:hAnsi="Calibri"/>
                <w:bCs/>
                <w:sz w:val="22"/>
                <w:szCs w:val="22"/>
                <w:lang w:val="en-US"/>
              </w:rPr>
              <w:t>erceived ease of use</w:t>
            </w:r>
            <w:r w:rsidR="00AC1D88">
              <w:rPr>
                <w:rFonts w:ascii="Calibri" w:hAnsi="Calibri"/>
                <w:bCs/>
                <w:sz w:val="22"/>
                <w:szCs w:val="22"/>
                <w:lang w:val="en-US"/>
              </w:rPr>
              <w:t>, p</w:t>
            </w:r>
            <w:r w:rsidRPr="00A44201">
              <w:rPr>
                <w:rFonts w:ascii="Calibri" w:hAnsi="Calibri"/>
                <w:bCs/>
                <w:sz w:val="22"/>
                <w:szCs w:val="22"/>
                <w:lang w:val="en-US"/>
              </w:rPr>
              <w:t>erceived usefulness</w:t>
            </w:r>
            <w:r w:rsidR="00AC1D88">
              <w:rPr>
                <w:rFonts w:ascii="Calibri" w:hAnsi="Calibri"/>
                <w:bCs/>
                <w:sz w:val="22"/>
                <w:szCs w:val="22"/>
                <w:lang w:val="en-US"/>
              </w:rPr>
              <w:t>, i</w:t>
            </w:r>
            <w:r w:rsidRPr="00A44201">
              <w:rPr>
                <w:rFonts w:ascii="Calibri" w:hAnsi="Calibri"/>
                <w:bCs/>
                <w:sz w:val="22"/>
                <w:szCs w:val="22"/>
                <w:lang w:val="en-US"/>
              </w:rPr>
              <w:t>nteraction</w:t>
            </w:r>
            <w:r w:rsidR="00AC1D88">
              <w:rPr>
                <w:rFonts w:ascii="Calibri" w:hAnsi="Calibri"/>
                <w:bCs/>
                <w:sz w:val="22"/>
                <w:szCs w:val="22"/>
                <w:lang w:val="en-US"/>
              </w:rPr>
              <w:t xml:space="preserve"> and i</w:t>
            </w:r>
            <w:r w:rsidRPr="00A44201">
              <w:rPr>
                <w:rFonts w:ascii="Calibri" w:hAnsi="Calibri"/>
                <w:bCs/>
                <w:sz w:val="22"/>
                <w:szCs w:val="22"/>
                <w:lang w:val="en-US"/>
              </w:rPr>
              <w:t>ntention to use</w:t>
            </w:r>
            <w:r w:rsidR="00AC1D88">
              <w:rPr>
                <w:rFonts w:ascii="Calibri" w:hAnsi="Calibri"/>
                <w:bCs/>
                <w:sz w:val="22"/>
                <w:szCs w:val="22"/>
                <w:lang w:val="en-US"/>
              </w:rPr>
              <w:t>. Additionally, t</w:t>
            </w:r>
            <w:r w:rsidRPr="00A44201">
              <w:rPr>
                <w:rFonts w:ascii="Calibri" w:hAnsi="Calibri"/>
                <w:bCs/>
                <w:sz w:val="22"/>
                <w:szCs w:val="22"/>
                <w:lang w:val="en-US"/>
              </w:rPr>
              <w:t>o determine the association between patient characteristics and acceptability of telemedicine</w:t>
            </w:r>
            <w:r w:rsidR="00AC1D88">
              <w:rPr>
                <w:rFonts w:ascii="Calibri" w:hAnsi="Calibri"/>
                <w:bCs/>
                <w:sz w:val="22"/>
                <w:szCs w:val="22"/>
                <w:lang w:val="en-US"/>
              </w:rPr>
              <w:t>.</w:t>
            </w:r>
          </w:p>
        </w:tc>
      </w:tr>
      <w:tr w:rsidR="00A44201" w:rsidRPr="00A44201" w14:paraId="2EC26B5C" w14:textId="77777777" w:rsidTr="00470B70">
        <w:tc>
          <w:tcPr>
            <w:tcW w:w="1424" w:type="dxa"/>
            <w:tcBorders>
              <w:top w:val="single" w:sz="4" w:space="0" w:color="D0CECE" w:themeColor="background2" w:themeShade="E6"/>
              <w:bottom w:val="single" w:sz="4" w:space="0" w:color="D0CECE" w:themeColor="background2" w:themeShade="E6"/>
              <w:right w:val="single" w:sz="4" w:space="0" w:color="000000" w:themeColor="text1"/>
            </w:tcBorders>
          </w:tcPr>
          <w:p w14:paraId="1E03C87C" w14:textId="244380C1" w:rsidR="00A44201" w:rsidRPr="00A44201" w:rsidRDefault="00A44201" w:rsidP="00A44201">
            <w:pPr>
              <w:jc w:val="both"/>
              <w:rPr>
                <w:rFonts w:ascii="Calibri" w:hAnsi="Calibri"/>
                <w:sz w:val="22"/>
                <w:szCs w:val="22"/>
                <w:lang w:val="en-US"/>
              </w:rPr>
            </w:pPr>
            <w:r w:rsidRPr="00A44201">
              <w:rPr>
                <w:rFonts w:ascii="Calibri" w:hAnsi="Calibri"/>
                <w:sz w:val="22"/>
                <w:szCs w:val="22"/>
                <w:lang w:val="en-US"/>
              </w:rPr>
              <w:t>Methodology (study design, sample size, procedure)</w:t>
            </w:r>
          </w:p>
        </w:tc>
        <w:tc>
          <w:tcPr>
            <w:tcW w:w="9586" w:type="dxa"/>
            <w:tcBorders>
              <w:top w:val="single" w:sz="4" w:space="0" w:color="D0CECE" w:themeColor="background2" w:themeShade="E6"/>
              <w:left w:val="single" w:sz="4" w:space="0" w:color="000000" w:themeColor="text1"/>
              <w:bottom w:val="single" w:sz="4" w:space="0" w:color="D0CECE" w:themeColor="background2" w:themeShade="E6"/>
            </w:tcBorders>
          </w:tcPr>
          <w:p w14:paraId="122EF6E5" w14:textId="79925025" w:rsidR="00A44201" w:rsidRPr="00A44201" w:rsidRDefault="00A44201" w:rsidP="00A44201">
            <w:pPr>
              <w:jc w:val="both"/>
              <w:rPr>
                <w:rFonts w:ascii="Calibri" w:hAnsi="Calibri"/>
                <w:bCs/>
                <w:sz w:val="22"/>
                <w:szCs w:val="22"/>
                <w:lang w:val="en-US"/>
              </w:rPr>
            </w:pPr>
            <w:r w:rsidRPr="00A44201">
              <w:rPr>
                <w:rFonts w:ascii="Calibri" w:hAnsi="Calibri"/>
                <w:bCs/>
                <w:sz w:val="22"/>
                <w:szCs w:val="22"/>
                <w:lang w:val="en-US"/>
              </w:rPr>
              <w:t>A cross-sectional study was conducted to evaluate the acceptability of telemedicine in the delivery of prenatal and postnatal care in the setting of the COVID-19 pandemic. A structured Likert-scale-based survey consisting of a model measuring telemedicine perception was utilized. A total of 193 pregnant and postpartum patients participated in the study. Descriptive statistical analysis and chi-square tests were done to evaluate the data.</w:t>
            </w:r>
          </w:p>
        </w:tc>
      </w:tr>
      <w:tr w:rsidR="00A44201" w:rsidRPr="00A44201" w14:paraId="367E200E" w14:textId="77777777" w:rsidTr="00470B70">
        <w:tc>
          <w:tcPr>
            <w:tcW w:w="1424" w:type="dxa"/>
            <w:tcBorders>
              <w:top w:val="single" w:sz="4" w:space="0" w:color="D0CECE" w:themeColor="background2" w:themeShade="E6"/>
              <w:bottom w:val="single" w:sz="4" w:space="0" w:color="D0CECE" w:themeColor="background2" w:themeShade="E6"/>
              <w:right w:val="single" w:sz="4" w:space="0" w:color="000000" w:themeColor="text1"/>
            </w:tcBorders>
          </w:tcPr>
          <w:p w14:paraId="7BC93F73" w14:textId="4D33926E" w:rsidR="00A44201" w:rsidRPr="00A44201" w:rsidRDefault="00A44201" w:rsidP="00A44201">
            <w:pPr>
              <w:rPr>
                <w:rFonts w:ascii="Calibri" w:hAnsi="Calibri"/>
                <w:sz w:val="22"/>
                <w:szCs w:val="22"/>
                <w:lang w:val="en-US"/>
              </w:rPr>
            </w:pPr>
            <w:r w:rsidRPr="00A44201">
              <w:rPr>
                <w:rFonts w:ascii="Calibri" w:hAnsi="Calibri"/>
                <w:sz w:val="22"/>
                <w:szCs w:val="22"/>
                <w:lang w:val="en-US"/>
              </w:rPr>
              <w:t>Results (include values/ percentages)</w:t>
            </w:r>
          </w:p>
        </w:tc>
        <w:tc>
          <w:tcPr>
            <w:tcW w:w="9586" w:type="dxa"/>
            <w:tcBorders>
              <w:top w:val="single" w:sz="4" w:space="0" w:color="D0CECE" w:themeColor="background2" w:themeShade="E6"/>
              <w:left w:val="single" w:sz="4" w:space="0" w:color="000000" w:themeColor="text1"/>
              <w:bottom w:val="single" w:sz="4" w:space="0" w:color="D0CECE" w:themeColor="background2" w:themeShade="E6"/>
            </w:tcBorders>
          </w:tcPr>
          <w:p w14:paraId="72941888" w14:textId="7D199CFD" w:rsidR="00A44201" w:rsidRPr="00A44201" w:rsidRDefault="00A44201" w:rsidP="0039439A">
            <w:pPr>
              <w:jc w:val="both"/>
              <w:rPr>
                <w:rFonts w:ascii="Calibri" w:hAnsi="Calibri"/>
                <w:bCs/>
                <w:sz w:val="22"/>
                <w:szCs w:val="22"/>
                <w:lang w:val="en-US"/>
              </w:rPr>
            </w:pPr>
            <w:r w:rsidRPr="00A44201">
              <w:rPr>
                <w:rFonts w:ascii="Calibri" w:hAnsi="Calibri"/>
                <w:bCs/>
                <w:sz w:val="22"/>
                <w:szCs w:val="22"/>
                <w:lang w:val="en-US"/>
              </w:rPr>
              <w:t xml:space="preserve">Majority of the participants were between 25 and 34 years old (56.48%), living within Metro Manila (68.91%), and were patients undergoing follow up consultations from the outpatient department (49.22%). More than half of these patients were normal pregnancy (55.96%) seeking routine pre-natal care (79.27%). Most of the subjects reported intention to use (88.60% n=171) and perceived telemedicine as acceptable in terms of interaction (88.08%, n=170), usefulness (88.08%, n=170), ease of use (90.16%, n=174), reliability (89.12%, n=172), financial cost (91.71% n=172), and efficiency (90.16%, n=174). </w:t>
            </w:r>
            <w:r w:rsidR="00AC1D88">
              <w:rPr>
                <w:rFonts w:ascii="Calibri" w:hAnsi="Calibri"/>
                <w:bCs/>
                <w:sz w:val="22"/>
                <w:szCs w:val="22"/>
                <w:lang w:val="en-US"/>
              </w:rPr>
              <w:t>T</w:t>
            </w:r>
            <w:r w:rsidRPr="00A44201">
              <w:rPr>
                <w:rFonts w:ascii="Calibri" w:hAnsi="Calibri"/>
                <w:bCs/>
                <w:sz w:val="22"/>
                <w:szCs w:val="22"/>
                <w:lang w:val="en-US"/>
              </w:rPr>
              <w:t>here was no significant association between the patients’ characteristics and their perceptions about telemedicine.</w:t>
            </w:r>
          </w:p>
        </w:tc>
      </w:tr>
      <w:tr w:rsidR="00A44201" w:rsidRPr="00A44201" w14:paraId="3869A512" w14:textId="77777777" w:rsidTr="00470B70">
        <w:tc>
          <w:tcPr>
            <w:tcW w:w="1424" w:type="dxa"/>
            <w:tcBorders>
              <w:top w:val="single" w:sz="4" w:space="0" w:color="D0CECE" w:themeColor="background2" w:themeShade="E6"/>
              <w:bottom w:val="single" w:sz="4" w:space="0" w:color="D0CECE"/>
              <w:right w:val="single" w:sz="4" w:space="0" w:color="000000" w:themeColor="text1"/>
            </w:tcBorders>
          </w:tcPr>
          <w:p w14:paraId="6ACD46D3" w14:textId="6F0C6221" w:rsidR="00A44201" w:rsidRPr="00A44201" w:rsidRDefault="00A44201" w:rsidP="00A44201">
            <w:pPr>
              <w:jc w:val="both"/>
              <w:rPr>
                <w:rFonts w:ascii="Calibri" w:hAnsi="Calibri"/>
                <w:sz w:val="22"/>
                <w:szCs w:val="22"/>
                <w:lang w:val="en-US"/>
              </w:rPr>
            </w:pPr>
            <w:r w:rsidRPr="00A44201">
              <w:rPr>
                <w:rFonts w:ascii="Calibri" w:hAnsi="Calibri"/>
                <w:sz w:val="22"/>
                <w:szCs w:val="22"/>
                <w:lang w:val="en-US"/>
              </w:rPr>
              <w:t>Conclusion</w:t>
            </w:r>
          </w:p>
        </w:tc>
        <w:tc>
          <w:tcPr>
            <w:tcW w:w="9586" w:type="dxa"/>
            <w:tcBorders>
              <w:top w:val="single" w:sz="4" w:space="0" w:color="D0CECE" w:themeColor="background2" w:themeShade="E6"/>
              <w:left w:val="single" w:sz="4" w:space="0" w:color="000000" w:themeColor="text1"/>
              <w:bottom w:val="single" w:sz="4" w:space="0" w:color="D0CECE"/>
            </w:tcBorders>
          </w:tcPr>
          <w:p w14:paraId="6022F6F9" w14:textId="75AD295B" w:rsidR="00A44201" w:rsidRPr="00AC1D88" w:rsidRDefault="00A44201" w:rsidP="00A44201">
            <w:pPr>
              <w:jc w:val="both"/>
              <w:rPr>
                <w:rFonts w:ascii="Calibri" w:hAnsi="Calibri"/>
                <w:bCs/>
                <w:sz w:val="22"/>
                <w:szCs w:val="22"/>
              </w:rPr>
            </w:pPr>
            <w:r w:rsidRPr="00A44201">
              <w:rPr>
                <w:rFonts w:ascii="Calibri" w:hAnsi="Calibri"/>
                <w:bCs/>
                <w:sz w:val="22"/>
                <w:szCs w:val="22"/>
              </w:rPr>
              <w:t xml:space="preserve">We conclude that telemedicine is an acceptable means of providing prenatal and postnatal care </w:t>
            </w:r>
            <w:r w:rsidR="00AC1D88">
              <w:rPr>
                <w:rFonts w:ascii="Calibri" w:hAnsi="Calibri"/>
                <w:bCs/>
                <w:sz w:val="22"/>
                <w:szCs w:val="22"/>
              </w:rPr>
              <w:t>in the setting of COVID-19 pandemic</w:t>
            </w:r>
            <w:r w:rsidR="0039439A">
              <w:rPr>
                <w:rFonts w:ascii="Calibri" w:hAnsi="Calibri"/>
                <w:bCs/>
                <w:sz w:val="22"/>
                <w:szCs w:val="22"/>
              </w:rPr>
              <w:t xml:space="preserve">. </w:t>
            </w:r>
            <w:r w:rsidRPr="00A44201">
              <w:rPr>
                <w:rFonts w:ascii="Calibri" w:hAnsi="Calibri"/>
                <w:bCs/>
                <w:sz w:val="22"/>
                <w:szCs w:val="22"/>
              </w:rPr>
              <w:t xml:space="preserve">There was no association between telemedicine perceptions and patient age, place of residence, type of patient encounter, disease, and treatment. </w:t>
            </w:r>
          </w:p>
        </w:tc>
      </w:tr>
      <w:tr w:rsidR="00A44201" w:rsidRPr="00A44201" w14:paraId="272E9B69" w14:textId="77777777" w:rsidTr="00470B70">
        <w:tc>
          <w:tcPr>
            <w:tcW w:w="1424" w:type="dxa"/>
            <w:tcBorders>
              <w:top w:val="single" w:sz="4" w:space="0" w:color="D0CECE"/>
              <w:bottom w:val="single" w:sz="4" w:space="0" w:color="auto"/>
              <w:right w:val="single" w:sz="4" w:space="0" w:color="000000" w:themeColor="text1"/>
            </w:tcBorders>
          </w:tcPr>
          <w:p w14:paraId="519ABAE9" w14:textId="6668AE23" w:rsidR="00A44201" w:rsidRPr="00A44201" w:rsidRDefault="00A44201" w:rsidP="00A44201">
            <w:pPr>
              <w:jc w:val="both"/>
              <w:rPr>
                <w:rFonts w:ascii="Calibri" w:hAnsi="Calibri"/>
                <w:sz w:val="22"/>
                <w:szCs w:val="22"/>
                <w:lang w:val="en-US"/>
              </w:rPr>
            </w:pPr>
            <w:r w:rsidRPr="00A44201">
              <w:rPr>
                <w:rFonts w:ascii="Calibri" w:hAnsi="Calibri"/>
                <w:sz w:val="22"/>
                <w:szCs w:val="22"/>
                <w:lang w:val="en-US"/>
              </w:rPr>
              <w:t>Keywords</w:t>
            </w:r>
          </w:p>
        </w:tc>
        <w:tc>
          <w:tcPr>
            <w:tcW w:w="9586" w:type="dxa"/>
            <w:tcBorders>
              <w:top w:val="single" w:sz="4" w:space="0" w:color="D0CECE"/>
              <w:left w:val="single" w:sz="4" w:space="0" w:color="000000" w:themeColor="text1"/>
              <w:bottom w:val="single" w:sz="4" w:space="0" w:color="auto"/>
            </w:tcBorders>
          </w:tcPr>
          <w:p w14:paraId="38015BE1" w14:textId="2261FB2C" w:rsidR="00A44201" w:rsidRPr="00A44201" w:rsidRDefault="00A44201" w:rsidP="00A44201">
            <w:pPr>
              <w:jc w:val="both"/>
              <w:rPr>
                <w:rFonts w:ascii="Calibri" w:hAnsi="Calibri"/>
                <w:bCs/>
                <w:sz w:val="22"/>
                <w:szCs w:val="22"/>
                <w:lang w:val="en-US"/>
              </w:rPr>
            </w:pPr>
            <w:r w:rsidRPr="00A44201">
              <w:rPr>
                <w:rFonts w:ascii="Calibri" w:hAnsi="Calibri"/>
                <w:bCs/>
                <w:sz w:val="22"/>
                <w:szCs w:val="22"/>
                <w:lang w:val="en-US"/>
              </w:rPr>
              <w:t>Telemedicine, acceptability, COVID-19 pandemic, prenatal care, postnatal care</w:t>
            </w:r>
          </w:p>
        </w:tc>
      </w:tr>
    </w:tbl>
    <w:p w14:paraId="752B321C" w14:textId="77777777" w:rsidR="00D8586B" w:rsidRPr="00A44201" w:rsidRDefault="00D8586B">
      <w:pPr>
        <w:rPr>
          <w:rFonts w:ascii="Calibri" w:hAnsi="Calibri"/>
          <w:sz w:val="22"/>
          <w:szCs w:val="22"/>
        </w:rPr>
      </w:pPr>
    </w:p>
    <w:sectPr w:rsidR="00D8586B" w:rsidRPr="00A44201" w:rsidSect="000348C5">
      <w:headerReference w:type="default" r:id="rId7"/>
      <w:footerReference w:type="default" r:id="rId8"/>
      <w:pgSz w:w="12240" w:h="15840"/>
      <w:pgMar w:top="1170" w:right="630" w:bottom="360" w:left="1440" w:header="720" w:footer="42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A0F8A" w14:textId="77777777" w:rsidR="007D5E8C" w:rsidRDefault="007D5E8C" w:rsidP="00B15DDA">
      <w:r>
        <w:separator/>
      </w:r>
    </w:p>
  </w:endnote>
  <w:endnote w:type="continuationSeparator" w:id="0">
    <w:p w14:paraId="3665E8CE" w14:textId="77777777" w:rsidR="007D5E8C" w:rsidRDefault="007D5E8C" w:rsidP="00B1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63400" w14:textId="77777777" w:rsidR="00AC1D88" w:rsidRPr="000348C5" w:rsidRDefault="00AC1D88" w:rsidP="000348C5">
    <w:pPr>
      <w:pStyle w:val="Footer"/>
      <w:jc w:val="right"/>
      <w:rPr>
        <w:sz w:val="20"/>
      </w:rPr>
    </w:pPr>
    <w:r w:rsidRPr="000348C5">
      <w:rPr>
        <w:color w:val="7F7F7F" w:themeColor="background1" w:themeShade="7F"/>
        <w:spacing w:val="60"/>
        <w:sz w:val="20"/>
      </w:rPr>
      <w:t>Page</w:t>
    </w:r>
    <w:r w:rsidRPr="000348C5">
      <w:rPr>
        <w:sz w:val="20"/>
      </w:rPr>
      <w:t xml:space="preserve"> | </w:t>
    </w:r>
    <w:r w:rsidRPr="000348C5">
      <w:rPr>
        <w:sz w:val="20"/>
      </w:rPr>
      <w:fldChar w:fldCharType="begin"/>
    </w:r>
    <w:r w:rsidRPr="000348C5">
      <w:rPr>
        <w:sz w:val="20"/>
      </w:rPr>
      <w:instrText xml:space="preserve"> PAGE   \* MERGEFORMAT </w:instrText>
    </w:r>
    <w:r w:rsidRPr="000348C5">
      <w:rPr>
        <w:sz w:val="20"/>
      </w:rPr>
      <w:fldChar w:fldCharType="separate"/>
    </w:r>
    <w:r w:rsidRPr="000348C5">
      <w:rPr>
        <w:b/>
        <w:bCs/>
        <w:noProof/>
        <w:sz w:val="20"/>
      </w:rPr>
      <w:t>1</w:t>
    </w:r>
    <w:r w:rsidRPr="000348C5">
      <w:rPr>
        <w:b/>
        <w:bCs/>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A4E9C" w14:textId="77777777" w:rsidR="007D5E8C" w:rsidRDefault="007D5E8C" w:rsidP="00B15DDA">
      <w:r>
        <w:separator/>
      </w:r>
    </w:p>
  </w:footnote>
  <w:footnote w:type="continuationSeparator" w:id="0">
    <w:p w14:paraId="09D03EAB" w14:textId="77777777" w:rsidR="007D5E8C" w:rsidRDefault="007D5E8C" w:rsidP="00B1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7E12E" w14:textId="1FD61699" w:rsidR="00AC1D88" w:rsidRDefault="00AC1D88" w:rsidP="00321AB1">
    <w:pPr>
      <w:pStyle w:val="Header"/>
    </w:pPr>
  </w:p>
  <w:p w14:paraId="63CE5EEC" w14:textId="11038D9D" w:rsidR="00AC1D88" w:rsidRDefault="00AC1D88">
    <w:pPr>
      <w:pStyle w:val="Header"/>
    </w:pPr>
  </w:p>
  <w:p w14:paraId="7F1C5DDF" w14:textId="77777777" w:rsidR="00AC1D88" w:rsidRDefault="00AC1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2520"/>
    <w:multiLevelType w:val="hybridMultilevel"/>
    <w:tmpl w:val="F52A1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32687"/>
    <w:multiLevelType w:val="hybridMultilevel"/>
    <w:tmpl w:val="E7DEB7E8"/>
    <w:lvl w:ilvl="0" w:tplc="A692B6DE">
      <w:start w:val="1"/>
      <w:numFmt w:val="decimal"/>
      <w:lvlText w:val="%1."/>
      <w:lvlJc w:val="left"/>
      <w:pPr>
        <w:ind w:left="720" w:hanging="360"/>
      </w:pPr>
      <w:rPr>
        <w:rFonts w:eastAsiaTheme="minorEastAsia" w:hint="default"/>
        <w:color w:val="000000" w:themeColor="text1"/>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E7310"/>
    <w:multiLevelType w:val="hybridMultilevel"/>
    <w:tmpl w:val="01D215DA"/>
    <w:lvl w:ilvl="0" w:tplc="C5DAF76C">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5D7F0D"/>
    <w:multiLevelType w:val="hybridMultilevel"/>
    <w:tmpl w:val="D2022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41F94"/>
    <w:multiLevelType w:val="multilevel"/>
    <w:tmpl w:val="08A41F94"/>
    <w:lvl w:ilvl="0">
      <w:start w:val="1"/>
      <w:numFmt w:val="bullet"/>
      <w:lvlText w:val=""/>
      <w:lvlJc w:val="left"/>
      <w:pPr>
        <w:tabs>
          <w:tab w:val="left" w:pos="306"/>
        </w:tabs>
        <w:ind w:left="306" w:hanging="360"/>
      </w:pPr>
      <w:rPr>
        <w:rFonts w:ascii="Symbol" w:hAnsi="Symbol" w:hint="default"/>
      </w:rPr>
    </w:lvl>
    <w:lvl w:ilvl="1">
      <w:start w:val="1"/>
      <w:numFmt w:val="bullet"/>
      <w:lvlText w:val="o"/>
      <w:lvlJc w:val="left"/>
      <w:pPr>
        <w:ind w:left="1026" w:hanging="360"/>
      </w:pPr>
      <w:rPr>
        <w:rFonts w:ascii="Courier New" w:hAnsi="Courier New" w:cs="Arial" w:hint="default"/>
      </w:rPr>
    </w:lvl>
    <w:lvl w:ilvl="2">
      <w:start w:val="1"/>
      <w:numFmt w:val="bullet"/>
      <w:lvlText w:val=""/>
      <w:lvlJc w:val="left"/>
      <w:pPr>
        <w:ind w:left="1746" w:hanging="360"/>
      </w:pPr>
      <w:rPr>
        <w:rFonts w:ascii="Wingdings" w:hAnsi="Wingdings" w:hint="default"/>
      </w:rPr>
    </w:lvl>
    <w:lvl w:ilvl="3">
      <w:start w:val="1"/>
      <w:numFmt w:val="bullet"/>
      <w:lvlText w:val=""/>
      <w:lvlJc w:val="left"/>
      <w:pPr>
        <w:ind w:left="2466" w:hanging="360"/>
      </w:pPr>
      <w:rPr>
        <w:rFonts w:ascii="Symbol" w:hAnsi="Symbol" w:hint="default"/>
      </w:rPr>
    </w:lvl>
    <w:lvl w:ilvl="4">
      <w:start w:val="1"/>
      <w:numFmt w:val="bullet"/>
      <w:lvlText w:val="o"/>
      <w:lvlJc w:val="left"/>
      <w:pPr>
        <w:ind w:left="3186" w:hanging="360"/>
      </w:pPr>
      <w:rPr>
        <w:rFonts w:ascii="Courier New" w:hAnsi="Courier New" w:cs="Arial" w:hint="default"/>
      </w:rPr>
    </w:lvl>
    <w:lvl w:ilvl="5">
      <w:start w:val="1"/>
      <w:numFmt w:val="bullet"/>
      <w:lvlText w:val=""/>
      <w:lvlJc w:val="left"/>
      <w:pPr>
        <w:ind w:left="3906" w:hanging="360"/>
      </w:pPr>
      <w:rPr>
        <w:rFonts w:ascii="Wingdings" w:hAnsi="Wingdings" w:hint="default"/>
      </w:rPr>
    </w:lvl>
    <w:lvl w:ilvl="6">
      <w:start w:val="1"/>
      <w:numFmt w:val="bullet"/>
      <w:lvlText w:val=""/>
      <w:lvlJc w:val="left"/>
      <w:pPr>
        <w:ind w:left="4626" w:hanging="360"/>
      </w:pPr>
      <w:rPr>
        <w:rFonts w:ascii="Symbol" w:hAnsi="Symbol" w:hint="default"/>
      </w:rPr>
    </w:lvl>
    <w:lvl w:ilvl="7">
      <w:start w:val="1"/>
      <w:numFmt w:val="bullet"/>
      <w:lvlText w:val="o"/>
      <w:lvlJc w:val="left"/>
      <w:pPr>
        <w:ind w:left="5346" w:hanging="360"/>
      </w:pPr>
      <w:rPr>
        <w:rFonts w:ascii="Courier New" w:hAnsi="Courier New" w:cs="Arial" w:hint="default"/>
      </w:rPr>
    </w:lvl>
    <w:lvl w:ilvl="8">
      <w:start w:val="1"/>
      <w:numFmt w:val="bullet"/>
      <w:lvlText w:val=""/>
      <w:lvlJc w:val="left"/>
      <w:pPr>
        <w:ind w:left="6066" w:hanging="360"/>
      </w:pPr>
      <w:rPr>
        <w:rFonts w:ascii="Wingdings" w:hAnsi="Wingdings" w:hint="default"/>
      </w:rPr>
    </w:lvl>
  </w:abstractNum>
  <w:abstractNum w:abstractNumId="5" w15:restartNumberingAfterBreak="0">
    <w:nsid w:val="09D863AC"/>
    <w:multiLevelType w:val="hybridMultilevel"/>
    <w:tmpl w:val="ADD0A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D516F"/>
    <w:multiLevelType w:val="hybridMultilevel"/>
    <w:tmpl w:val="F5383190"/>
    <w:lvl w:ilvl="0" w:tplc="A634BD72">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1494A"/>
    <w:multiLevelType w:val="hybridMultilevel"/>
    <w:tmpl w:val="16E46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3074A"/>
    <w:multiLevelType w:val="hybridMultilevel"/>
    <w:tmpl w:val="51465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F92CFD"/>
    <w:multiLevelType w:val="hybridMultilevel"/>
    <w:tmpl w:val="06DEE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D80B7F"/>
    <w:multiLevelType w:val="hybridMultilevel"/>
    <w:tmpl w:val="E4E4A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DD75CB"/>
    <w:multiLevelType w:val="hybridMultilevel"/>
    <w:tmpl w:val="5524B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028B7"/>
    <w:multiLevelType w:val="hybridMultilevel"/>
    <w:tmpl w:val="3B8A97C4"/>
    <w:lvl w:ilvl="0" w:tplc="A634BD72">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B604EC"/>
    <w:multiLevelType w:val="hybridMultilevel"/>
    <w:tmpl w:val="C72EA45A"/>
    <w:lvl w:ilvl="0" w:tplc="7A98A4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316237"/>
    <w:multiLevelType w:val="hybridMultilevel"/>
    <w:tmpl w:val="47BC7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EA7411"/>
    <w:multiLevelType w:val="multilevel"/>
    <w:tmpl w:val="FD44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AD4ACE"/>
    <w:multiLevelType w:val="hybridMultilevel"/>
    <w:tmpl w:val="2CB45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E0EC8"/>
    <w:multiLevelType w:val="hybridMultilevel"/>
    <w:tmpl w:val="1FEE4D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DA534E"/>
    <w:multiLevelType w:val="hybridMultilevel"/>
    <w:tmpl w:val="1FEE4D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C623480"/>
    <w:multiLevelType w:val="hybridMultilevel"/>
    <w:tmpl w:val="5E66014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471A73"/>
    <w:multiLevelType w:val="hybridMultilevel"/>
    <w:tmpl w:val="2B7483AA"/>
    <w:lvl w:ilvl="0" w:tplc="E92247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BC6C33"/>
    <w:multiLevelType w:val="hybridMultilevel"/>
    <w:tmpl w:val="21FAEE1E"/>
    <w:lvl w:ilvl="0" w:tplc="040A43C4">
      <w:start w:val="1"/>
      <w:numFmt w:val="decimal"/>
      <w:lvlText w:val="%1."/>
      <w:lvlJc w:val="left"/>
      <w:pPr>
        <w:ind w:left="360" w:hanging="360"/>
      </w:pPr>
      <w:rPr>
        <w:rFonts w:ascii="Arial" w:hAnsi="Arial" w:cs="Arial" w:hint="default"/>
        <w:color w:val="2222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33F0238"/>
    <w:multiLevelType w:val="hybridMultilevel"/>
    <w:tmpl w:val="F5383190"/>
    <w:lvl w:ilvl="0" w:tplc="A634BD72">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8A4FB2"/>
    <w:multiLevelType w:val="multilevel"/>
    <w:tmpl w:val="438A4FB2"/>
    <w:lvl w:ilvl="0">
      <w:numFmt w:val="bullet"/>
      <w:lvlText w:val=""/>
      <w:lvlJc w:val="left"/>
      <w:pPr>
        <w:ind w:left="989" w:hanging="270"/>
      </w:pPr>
      <w:rPr>
        <w:rFonts w:ascii="Symbol" w:eastAsia="Symbol" w:hAnsi="Symbol" w:cs="Symbol" w:hint="default"/>
        <w:w w:val="100"/>
        <w:sz w:val="20"/>
        <w:szCs w:val="20"/>
        <w:lang w:val="en-US" w:eastAsia="en-US" w:bidi="en-US"/>
      </w:rPr>
    </w:lvl>
    <w:lvl w:ilvl="1">
      <w:numFmt w:val="bullet"/>
      <w:lvlText w:val="•"/>
      <w:lvlJc w:val="left"/>
      <w:pPr>
        <w:ind w:left="1916" w:hanging="270"/>
      </w:pPr>
      <w:rPr>
        <w:rFonts w:hint="default"/>
        <w:lang w:val="en-US" w:eastAsia="en-US" w:bidi="en-US"/>
      </w:rPr>
    </w:lvl>
    <w:lvl w:ilvl="2">
      <w:numFmt w:val="bullet"/>
      <w:lvlText w:val="•"/>
      <w:lvlJc w:val="left"/>
      <w:pPr>
        <w:ind w:left="2852" w:hanging="270"/>
      </w:pPr>
      <w:rPr>
        <w:rFonts w:hint="default"/>
        <w:lang w:val="en-US" w:eastAsia="en-US" w:bidi="en-US"/>
      </w:rPr>
    </w:lvl>
    <w:lvl w:ilvl="3">
      <w:numFmt w:val="bullet"/>
      <w:lvlText w:val="•"/>
      <w:lvlJc w:val="left"/>
      <w:pPr>
        <w:ind w:left="3788" w:hanging="270"/>
      </w:pPr>
      <w:rPr>
        <w:rFonts w:hint="default"/>
        <w:lang w:val="en-US" w:eastAsia="en-US" w:bidi="en-US"/>
      </w:rPr>
    </w:lvl>
    <w:lvl w:ilvl="4">
      <w:numFmt w:val="bullet"/>
      <w:lvlText w:val="•"/>
      <w:lvlJc w:val="left"/>
      <w:pPr>
        <w:ind w:left="4724" w:hanging="270"/>
      </w:pPr>
      <w:rPr>
        <w:rFonts w:hint="default"/>
        <w:lang w:val="en-US" w:eastAsia="en-US" w:bidi="en-US"/>
      </w:rPr>
    </w:lvl>
    <w:lvl w:ilvl="5">
      <w:numFmt w:val="bullet"/>
      <w:lvlText w:val="•"/>
      <w:lvlJc w:val="left"/>
      <w:pPr>
        <w:ind w:left="5660" w:hanging="270"/>
      </w:pPr>
      <w:rPr>
        <w:rFonts w:hint="default"/>
        <w:lang w:val="en-US" w:eastAsia="en-US" w:bidi="en-US"/>
      </w:rPr>
    </w:lvl>
    <w:lvl w:ilvl="6">
      <w:numFmt w:val="bullet"/>
      <w:lvlText w:val="•"/>
      <w:lvlJc w:val="left"/>
      <w:pPr>
        <w:ind w:left="6596" w:hanging="270"/>
      </w:pPr>
      <w:rPr>
        <w:rFonts w:hint="default"/>
        <w:lang w:val="en-US" w:eastAsia="en-US" w:bidi="en-US"/>
      </w:rPr>
    </w:lvl>
    <w:lvl w:ilvl="7">
      <w:numFmt w:val="bullet"/>
      <w:lvlText w:val="•"/>
      <w:lvlJc w:val="left"/>
      <w:pPr>
        <w:ind w:left="7532" w:hanging="270"/>
      </w:pPr>
      <w:rPr>
        <w:rFonts w:hint="default"/>
        <w:lang w:val="en-US" w:eastAsia="en-US" w:bidi="en-US"/>
      </w:rPr>
    </w:lvl>
    <w:lvl w:ilvl="8">
      <w:numFmt w:val="bullet"/>
      <w:lvlText w:val="•"/>
      <w:lvlJc w:val="left"/>
      <w:pPr>
        <w:ind w:left="8468" w:hanging="270"/>
      </w:pPr>
      <w:rPr>
        <w:rFonts w:hint="default"/>
        <w:lang w:val="en-US" w:eastAsia="en-US" w:bidi="en-US"/>
      </w:rPr>
    </w:lvl>
  </w:abstractNum>
  <w:abstractNum w:abstractNumId="24" w15:restartNumberingAfterBreak="0">
    <w:nsid w:val="47BF2DBF"/>
    <w:multiLevelType w:val="multilevel"/>
    <w:tmpl w:val="47BF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B193672"/>
    <w:multiLevelType w:val="hybridMultilevel"/>
    <w:tmpl w:val="F5383190"/>
    <w:lvl w:ilvl="0" w:tplc="A634BD72">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0765D1"/>
    <w:multiLevelType w:val="hybridMultilevel"/>
    <w:tmpl w:val="7A10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5A7DC6"/>
    <w:multiLevelType w:val="hybridMultilevel"/>
    <w:tmpl w:val="6F00E668"/>
    <w:lvl w:ilvl="0" w:tplc="E92247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00A3"/>
    <w:multiLevelType w:val="hybridMultilevel"/>
    <w:tmpl w:val="3B8A97C4"/>
    <w:lvl w:ilvl="0" w:tplc="A634BD72">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650401"/>
    <w:multiLevelType w:val="hybridMultilevel"/>
    <w:tmpl w:val="E72AE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B5C7D"/>
    <w:multiLevelType w:val="hybridMultilevel"/>
    <w:tmpl w:val="D7322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BF7D75"/>
    <w:multiLevelType w:val="hybridMultilevel"/>
    <w:tmpl w:val="5A388584"/>
    <w:lvl w:ilvl="0" w:tplc="E92247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FC0E6E"/>
    <w:multiLevelType w:val="hybridMultilevel"/>
    <w:tmpl w:val="3B8A97C4"/>
    <w:lvl w:ilvl="0" w:tplc="A634BD72">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9B4C28"/>
    <w:multiLevelType w:val="hybridMultilevel"/>
    <w:tmpl w:val="22F8D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274BE6"/>
    <w:multiLevelType w:val="hybridMultilevel"/>
    <w:tmpl w:val="7B4A6B46"/>
    <w:lvl w:ilvl="0" w:tplc="F2A65B0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26EF474">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187B07"/>
    <w:multiLevelType w:val="hybridMultilevel"/>
    <w:tmpl w:val="510EE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9B2A1E"/>
    <w:multiLevelType w:val="multilevel"/>
    <w:tmpl w:val="087CC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255472"/>
    <w:multiLevelType w:val="multilevel"/>
    <w:tmpl w:val="6E255472"/>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Arial"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Arial"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Arial" w:hint="default"/>
      </w:rPr>
    </w:lvl>
    <w:lvl w:ilvl="8">
      <w:start w:val="1"/>
      <w:numFmt w:val="bullet"/>
      <w:lvlText w:val=""/>
      <w:lvlJc w:val="left"/>
      <w:pPr>
        <w:ind w:left="7920" w:hanging="360"/>
      </w:pPr>
      <w:rPr>
        <w:rFonts w:ascii="Wingdings" w:hAnsi="Wingdings" w:hint="default"/>
      </w:rPr>
    </w:lvl>
  </w:abstractNum>
  <w:abstractNum w:abstractNumId="38" w15:restartNumberingAfterBreak="0">
    <w:nsid w:val="6F4F7477"/>
    <w:multiLevelType w:val="hybridMultilevel"/>
    <w:tmpl w:val="34121F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F31CAC"/>
    <w:multiLevelType w:val="hybridMultilevel"/>
    <w:tmpl w:val="748228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1EE026C"/>
    <w:multiLevelType w:val="hybridMultilevel"/>
    <w:tmpl w:val="ADD0A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642D8"/>
    <w:multiLevelType w:val="hybridMultilevel"/>
    <w:tmpl w:val="1FEE4D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4D0108D"/>
    <w:multiLevelType w:val="multilevel"/>
    <w:tmpl w:val="74D0108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B7D23"/>
    <w:multiLevelType w:val="hybridMultilevel"/>
    <w:tmpl w:val="CB702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2"/>
  </w:num>
  <w:num w:numId="3">
    <w:abstractNumId w:val="12"/>
  </w:num>
  <w:num w:numId="4">
    <w:abstractNumId w:val="36"/>
  </w:num>
  <w:num w:numId="5">
    <w:abstractNumId w:val="6"/>
  </w:num>
  <w:num w:numId="6">
    <w:abstractNumId w:val="4"/>
  </w:num>
  <w:num w:numId="7">
    <w:abstractNumId w:val="31"/>
  </w:num>
  <w:num w:numId="8">
    <w:abstractNumId w:val="27"/>
  </w:num>
  <w:num w:numId="9">
    <w:abstractNumId w:val="37"/>
  </w:num>
  <w:num w:numId="10">
    <w:abstractNumId w:val="20"/>
  </w:num>
  <w:num w:numId="11">
    <w:abstractNumId w:val="15"/>
  </w:num>
  <w:num w:numId="12">
    <w:abstractNumId w:val="28"/>
  </w:num>
  <w:num w:numId="13">
    <w:abstractNumId w:val="25"/>
  </w:num>
  <w:num w:numId="14">
    <w:abstractNumId w:val="43"/>
  </w:num>
  <w:num w:numId="15">
    <w:abstractNumId w:val="35"/>
  </w:num>
  <w:num w:numId="16">
    <w:abstractNumId w:val="22"/>
  </w:num>
  <w:num w:numId="17">
    <w:abstractNumId w:val="1"/>
  </w:num>
  <w:num w:numId="18">
    <w:abstractNumId w:val="9"/>
  </w:num>
  <w:num w:numId="19">
    <w:abstractNumId w:val="2"/>
  </w:num>
  <w:num w:numId="20">
    <w:abstractNumId w:val="30"/>
  </w:num>
  <w:num w:numId="21">
    <w:abstractNumId w:val="34"/>
  </w:num>
  <w:num w:numId="22">
    <w:abstractNumId w:val="5"/>
  </w:num>
  <w:num w:numId="23">
    <w:abstractNumId w:val="40"/>
  </w:num>
  <w:num w:numId="24">
    <w:abstractNumId w:val="39"/>
  </w:num>
  <w:num w:numId="25">
    <w:abstractNumId w:val="41"/>
  </w:num>
  <w:num w:numId="26">
    <w:abstractNumId w:val="18"/>
  </w:num>
  <w:num w:numId="27">
    <w:abstractNumId w:val="17"/>
  </w:num>
  <w:num w:numId="28">
    <w:abstractNumId w:val="33"/>
  </w:num>
  <w:num w:numId="29">
    <w:abstractNumId w:val="3"/>
  </w:num>
  <w:num w:numId="30">
    <w:abstractNumId w:val="29"/>
  </w:num>
  <w:num w:numId="31">
    <w:abstractNumId w:val="14"/>
  </w:num>
  <w:num w:numId="32">
    <w:abstractNumId w:val="10"/>
  </w:num>
  <w:num w:numId="33">
    <w:abstractNumId w:val="0"/>
  </w:num>
  <w:num w:numId="34">
    <w:abstractNumId w:val="13"/>
  </w:num>
  <w:num w:numId="35">
    <w:abstractNumId w:val="8"/>
  </w:num>
  <w:num w:numId="36">
    <w:abstractNumId w:val="23"/>
  </w:num>
  <w:num w:numId="37">
    <w:abstractNumId w:val="24"/>
  </w:num>
  <w:num w:numId="38">
    <w:abstractNumId w:val="16"/>
  </w:num>
  <w:num w:numId="39">
    <w:abstractNumId w:val="26"/>
  </w:num>
  <w:num w:numId="40">
    <w:abstractNumId w:val="7"/>
  </w:num>
  <w:num w:numId="41">
    <w:abstractNumId w:val="38"/>
  </w:num>
  <w:num w:numId="42">
    <w:abstractNumId w:val="19"/>
  </w:num>
  <w:num w:numId="43">
    <w:abstractNumId w:val="1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5F"/>
    <w:rsid w:val="000348C5"/>
    <w:rsid w:val="000859DC"/>
    <w:rsid w:val="00205F3C"/>
    <w:rsid w:val="0029322F"/>
    <w:rsid w:val="002C679D"/>
    <w:rsid w:val="00321AB1"/>
    <w:rsid w:val="00381B5F"/>
    <w:rsid w:val="0039439A"/>
    <w:rsid w:val="00470B70"/>
    <w:rsid w:val="00604D82"/>
    <w:rsid w:val="006C1BA0"/>
    <w:rsid w:val="006C3E19"/>
    <w:rsid w:val="00700C1F"/>
    <w:rsid w:val="007331F5"/>
    <w:rsid w:val="00797A7E"/>
    <w:rsid w:val="007D5E8C"/>
    <w:rsid w:val="00814B79"/>
    <w:rsid w:val="008572BA"/>
    <w:rsid w:val="00A44201"/>
    <w:rsid w:val="00AC1D88"/>
    <w:rsid w:val="00B012EB"/>
    <w:rsid w:val="00B15DDA"/>
    <w:rsid w:val="00CE2CB6"/>
    <w:rsid w:val="00D8586B"/>
    <w:rsid w:val="00E40B34"/>
    <w:rsid w:val="00F9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4D7A6"/>
  <w15:chartTrackingRefBased/>
  <w15:docId w15:val="{0784FA90-1A30-492A-8BE0-C2440D46D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B5F"/>
    <w:pPr>
      <w:spacing w:after="0" w:line="240" w:lineRule="auto"/>
    </w:pPr>
    <w:rPr>
      <w:sz w:val="24"/>
      <w:szCs w:val="24"/>
      <w:lang w:val="en-PH"/>
    </w:rPr>
  </w:style>
  <w:style w:type="paragraph" w:styleId="Heading1">
    <w:name w:val="heading 1"/>
    <w:basedOn w:val="Normal"/>
    <w:link w:val="Heading1Char"/>
    <w:uiPriority w:val="9"/>
    <w:qFormat/>
    <w:rsid w:val="00A4420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1B5F"/>
    <w:pPr>
      <w:spacing w:after="0" w:line="240" w:lineRule="auto"/>
    </w:pPr>
    <w:rPr>
      <w:sz w:val="24"/>
      <w:szCs w:val="24"/>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DDA"/>
    <w:pPr>
      <w:tabs>
        <w:tab w:val="center" w:pos="4680"/>
        <w:tab w:val="right" w:pos="9360"/>
      </w:tabs>
    </w:pPr>
  </w:style>
  <w:style w:type="character" w:customStyle="1" w:styleId="HeaderChar">
    <w:name w:val="Header Char"/>
    <w:basedOn w:val="DefaultParagraphFont"/>
    <w:link w:val="Header"/>
    <w:uiPriority w:val="99"/>
    <w:rsid w:val="00B15DDA"/>
    <w:rPr>
      <w:sz w:val="24"/>
      <w:szCs w:val="24"/>
      <w:lang w:val="en-PH"/>
    </w:rPr>
  </w:style>
  <w:style w:type="paragraph" w:styleId="Footer">
    <w:name w:val="footer"/>
    <w:basedOn w:val="Normal"/>
    <w:link w:val="FooterChar"/>
    <w:uiPriority w:val="99"/>
    <w:unhideWhenUsed/>
    <w:rsid w:val="00B15DDA"/>
    <w:pPr>
      <w:tabs>
        <w:tab w:val="center" w:pos="4680"/>
        <w:tab w:val="right" w:pos="9360"/>
      </w:tabs>
    </w:pPr>
  </w:style>
  <w:style w:type="character" w:customStyle="1" w:styleId="FooterChar">
    <w:name w:val="Footer Char"/>
    <w:basedOn w:val="DefaultParagraphFont"/>
    <w:link w:val="Footer"/>
    <w:uiPriority w:val="99"/>
    <w:rsid w:val="00B15DDA"/>
    <w:rPr>
      <w:sz w:val="24"/>
      <w:szCs w:val="24"/>
      <w:lang w:val="en-PH"/>
    </w:rPr>
  </w:style>
  <w:style w:type="paragraph" w:styleId="NormalWeb">
    <w:name w:val="Normal (Web)"/>
    <w:basedOn w:val="Normal"/>
    <w:uiPriority w:val="99"/>
    <w:unhideWhenUsed/>
    <w:rsid w:val="000859DC"/>
    <w:pPr>
      <w:spacing w:before="100" w:beforeAutospacing="1" w:after="100" w:afterAutospacing="1"/>
    </w:pPr>
    <w:rPr>
      <w:rFonts w:ascii="Times New Roman" w:eastAsia="Times New Roman" w:hAnsi="Times New Roman" w:cs="Times New Roman"/>
    </w:rPr>
  </w:style>
  <w:style w:type="paragraph" w:styleId="BodyText">
    <w:name w:val="Body Text"/>
    <w:basedOn w:val="Normal"/>
    <w:link w:val="BodyTextChar"/>
    <w:uiPriority w:val="99"/>
    <w:qFormat/>
    <w:rsid w:val="00B012EB"/>
    <w:pPr>
      <w:widowControl w:val="0"/>
      <w:spacing w:after="120"/>
    </w:pPr>
    <w:rPr>
      <w:rFonts w:ascii="Times New Roman" w:eastAsia="PMingLiU" w:hAnsi="Times New Roman" w:cs="Times New Roman"/>
      <w:kern w:val="2"/>
      <w:lang w:val="en-US" w:eastAsia="zh-TW"/>
    </w:rPr>
  </w:style>
  <w:style w:type="character" w:customStyle="1" w:styleId="BodyTextChar">
    <w:name w:val="Body Text Char"/>
    <w:basedOn w:val="DefaultParagraphFont"/>
    <w:link w:val="BodyText"/>
    <w:uiPriority w:val="99"/>
    <w:qFormat/>
    <w:rsid w:val="00B012EB"/>
    <w:rPr>
      <w:rFonts w:ascii="Times New Roman" w:eastAsia="PMingLiU" w:hAnsi="Times New Roman" w:cs="Times New Roman"/>
      <w:kern w:val="2"/>
      <w:sz w:val="24"/>
      <w:szCs w:val="24"/>
      <w:lang w:eastAsia="zh-TW"/>
    </w:rPr>
  </w:style>
  <w:style w:type="character" w:customStyle="1" w:styleId="Heading1Char">
    <w:name w:val="Heading 1 Char"/>
    <w:basedOn w:val="DefaultParagraphFont"/>
    <w:link w:val="Heading1"/>
    <w:uiPriority w:val="9"/>
    <w:rsid w:val="00A44201"/>
    <w:rPr>
      <w:rFonts w:ascii="Times New Roman" w:eastAsia="Times New Roman" w:hAnsi="Times New Roman" w:cs="Times New Roman"/>
      <w:b/>
      <w:bCs/>
      <w:kern w:val="36"/>
      <w:sz w:val="48"/>
      <w:szCs w:val="48"/>
      <w:lang w:val="en-PH"/>
    </w:rPr>
  </w:style>
  <w:style w:type="paragraph" w:customStyle="1" w:styleId="Default">
    <w:name w:val="Default"/>
    <w:rsid w:val="00A442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A44201"/>
  </w:style>
  <w:style w:type="paragraph" w:styleId="ListParagraph">
    <w:name w:val="List Paragraph"/>
    <w:basedOn w:val="Normal"/>
    <w:uiPriority w:val="34"/>
    <w:qFormat/>
    <w:rsid w:val="00A44201"/>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A44201"/>
    <w:rPr>
      <w:color w:val="0563C1" w:themeColor="hyperlink"/>
      <w:u w:val="single"/>
    </w:rPr>
  </w:style>
  <w:style w:type="character" w:customStyle="1" w:styleId="UnresolvedMention1">
    <w:name w:val="Unresolved Mention1"/>
    <w:basedOn w:val="DefaultParagraphFont"/>
    <w:uiPriority w:val="99"/>
    <w:semiHidden/>
    <w:unhideWhenUsed/>
    <w:rsid w:val="00A44201"/>
    <w:rPr>
      <w:color w:val="605E5C"/>
      <w:shd w:val="clear" w:color="auto" w:fill="E1DFDD"/>
    </w:rPr>
  </w:style>
  <w:style w:type="paragraph" w:styleId="NoSpacing">
    <w:name w:val="No Spacing"/>
    <w:uiPriority w:val="1"/>
    <w:qFormat/>
    <w:rsid w:val="00A44201"/>
    <w:pPr>
      <w:spacing w:after="0" w:line="240" w:lineRule="auto"/>
    </w:pPr>
    <w:rPr>
      <w:sz w:val="24"/>
      <w:szCs w:val="24"/>
      <w:lang w:val="en-PH"/>
    </w:rPr>
  </w:style>
  <w:style w:type="character" w:styleId="FollowedHyperlink">
    <w:name w:val="FollowedHyperlink"/>
    <w:basedOn w:val="DefaultParagraphFont"/>
    <w:uiPriority w:val="99"/>
    <w:semiHidden/>
    <w:unhideWhenUsed/>
    <w:rsid w:val="00A44201"/>
    <w:rPr>
      <w:color w:val="954F72" w:themeColor="followedHyperlink"/>
      <w:u w:val="single"/>
    </w:rPr>
  </w:style>
  <w:style w:type="character" w:customStyle="1" w:styleId="Subtitle1">
    <w:name w:val="Subtitle1"/>
    <w:basedOn w:val="DefaultParagraphFont"/>
    <w:rsid w:val="00A44201"/>
  </w:style>
  <w:style w:type="character" w:customStyle="1" w:styleId="colon-for-citation-subtitle">
    <w:name w:val="colon-for-citation-subtitle"/>
    <w:basedOn w:val="DefaultParagraphFont"/>
    <w:rsid w:val="00A44201"/>
  </w:style>
  <w:style w:type="character" w:styleId="Emphasis">
    <w:name w:val="Emphasis"/>
    <w:basedOn w:val="DefaultParagraphFont"/>
    <w:uiPriority w:val="20"/>
    <w:qFormat/>
    <w:rsid w:val="00A44201"/>
    <w:rPr>
      <w:i/>
      <w:iCs/>
    </w:rPr>
  </w:style>
  <w:style w:type="paragraph" w:styleId="CommentText">
    <w:name w:val="annotation text"/>
    <w:basedOn w:val="Normal"/>
    <w:link w:val="CommentTextChar"/>
    <w:uiPriority w:val="99"/>
    <w:unhideWhenUsed/>
    <w:qFormat/>
    <w:rsid w:val="00A44201"/>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qFormat/>
    <w:rsid w:val="00A44201"/>
    <w:rPr>
      <w:rFonts w:ascii="Times New Roman" w:eastAsia="Times New Roman" w:hAnsi="Times New Roman" w:cs="Times New Roman"/>
      <w:sz w:val="20"/>
      <w:szCs w:val="20"/>
      <w:lang w:val="en-PH"/>
    </w:rPr>
  </w:style>
  <w:style w:type="paragraph" w:styleId="CommentSubject">
    <w:name w:val="annotation subject"/>
    <w:basedOn w:val="CommentText"/>
    <w:next w:val="CommentText"/>
    <w:link w:val="CommentSubjectChar"/>
    <w:uiPriority w:val="99"/>
    <w:unhideWhenUsed/>
    <w:qFormat/>
    <w:rsid w:val="00A44201"/>
    <w:pPr>
      <w:spacing w:after="200"/>
    </w:pPr>
    <w:rPr>
      <w:rFonts w:ascii="Calibri" w:eastAsia="Calibri" w:hAnsi="Calibri"/>
      <w:b/>
      <w:bCs/>
    </w:rPr>
  </w:style>
  <w:style w:type="character" w:customStyle="1" w:styleId="CommentSubjectChar">
    <w:name w:val="Comment Subject Char"/>
    <w:basedOn w:val="CommentTextChar"/>
    <w:link w:val="CommentSubject"/>
    <w:uiPriority w:val="99"/>
    <w:qFormat/>
    <w:rsid w:val="00A44201"/>
    <w:rPr>
      <w:rFonts w:ascii="Calibri" w:eastAsia="Calibri" w:hAnsi="Calibri" w:cs="Times New Roman"/>
      <w:b/>
      <w:bCs/>
      <w:sz w:val="20"/>
      <w:szCs w:val="20"/>
      <w:lang w:val="en-PH"/>
    </w:rPr>
  </w:style>
  <w:style w:type="paragraph" w:customStyle="1" w:styleId="NoSpacing1">
    <w:name w:val="No Spacing1"/>
    <w:uiPriority w:val="1"/>
    <w:qFormat/>
    <w:rsid w:val="00A44201"/>
    <w:pPr>
      <w:spacing w:after="0" w:line="240" w:lineRule="auto"/>
    </w:pPr>
    <w:rPr>
      <w:rFonts w:ascii="Calibri" w:eastAsia="Calibri" w:hAnsi="Calibri" w:cs="Times New Roman"/>
      <w:lang w:val="en-PH"/>
    </w:rPr>
  </w:style>
  <w:style w:type="character" w:customStyle="1" w:styleId="ej-keyword">
    <w:name w:val="ej-keyword"/>
    <w:basedOn w:val="DefaultParagraphFont"/>
    <w:rsid w:val="00A44201"/>
  </w:style>
  <w:style w:type="table" w:customStyle="1" w:styleId="TableGridLight1">
    <w:name w:val="Table Grid Light1"/>
    <w:basedOn w:val="TableNormal"/>
    <w:uiPriority w:val="40"/>
    <w:rsid w:val="00A44201"/>
    <w:pPr>
      <w:spacing w:after="0" w:line="240" w:lineRule="auto"/>
    </w:pPr>
    <w:rPr>
      <w:sz w:val="24"/>
      <w:szCs w:val="24"/>
      <w:lang w:val="en-P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
    <w:name w:val="_"/>
    <w:basedOn w:val="DefaultParagraphFont"/>
    <w:rsid w:val="00A44201"/>
  </w:style>
  <w:style w:type="character" w:customStyle="1" w:styleId="hgkelc">
    <w:name w:val="hgkelc"/>
    <w:basedOn w:val="DefaultParagraphFont"/>
    <w:rsid w:val="00A44201"/>
  </w:style>
  <w:style w:type="character" w:styleId="CommentReference">
    <w:name w:val="annotation reference"/>
    <w:basedOn w:val="DefaultParagraphFont"/>
    <w:uiPriority w:val="99"/>
    <w:semiHidden/>
    <w:unhideWhenUsed/>
    <w:rsid w:val="00A44201"/>
    <w:rPr>
      <w:sz w:val="18"/>
      <w:szCs w:val="18"/>
    </w:rPr>
  </w:style>
  <w:style w:type="paragraph" w:styleId="BalloonText">
    <w:name w:val="Balloon Text"/>
    <w:basedOn w:val="Normal"/>
    <w:link w:val="BalloonTextChar"/>
    <w:uiPriority w:val="99"/>
    <w:semiHidden/>
    <w:unhideWhenUsed/>
    <w:rsid w:val="00A44201"/>
    <w:rPr>
      <w:rFonts w:ascii="Lucida Grande" w:eastAsia="Times New Roman" w:hAnsi="Lucida Grande" w:cs="Lucida Grande"/>
      <w:sz w:val="18"/>
      <w:szCs w:val="18"/>
    </w:rPr>
  </w:style>
  <w:style w:type="character" w:customStyle="1" w:styleId="BalloonTextChar">
    <w:name w:val="Balloon Text Char"/>
    <w:basedOn w:val="DefaultParagraphFont"/>
    <w:link w:val="BalloonText"/>
    <w:uiPriority w:val="99"/>
    <w:semiHidden/>
    <w:rsid w:val="00A44201"/>
    <w:rPr>
      <w:rFonts w:ascii="Lucida Grande" w:eastAsia="Times New Roman" w:hAnsi="Lucida Grande" w:cs="Lucida Grande"/>
      <w:sz w:val="18"/>
      <w:szCs w:val="18"/>
      <w:lang w:val="en-PH"/>
    </w:rPr>
  </w:style>
  <w:style w:type="paragraph" w:styleId="Revision">
    <w:name w:val="Revision"/>
    <w:hidden/>
    <w:uiPriority w:val="99"/>
    <w:semiHidden/>
    <w:rsid w:val="00A44201"/>
    <w:pPr>
      <w:spacing w:after="0" w:line="240" w:lineRule="auto"/>
    </w:pPr>
    <w:rPr>
      <w:rFonts w:ascii="Times New Roman" w:eastAsia="Times New Roman" w:hAnsi="Times New Roman" w:cs="Times New Roman"/>
      <w:sz w:val="24"/>
      <w:szCs w:val="24"/>
      <w:lang w:val="en-PH"/>
    </w:rPr>
  </w:style>
  <w:style w:type="character" w:customStyle="1" w:styleId="UnresolvedMention2">
    <w:name w:val="Unresolved Mention2"/>
    <w:basedOn w:val="DefaultParagraphFont"/>
    <w:uiPriority w:val="99"/>
    <w:semiHidden/>
    <w:unhideWhenUsed/>
    <w:rsid w:val="00A44201"/>
    <w:rPr>
      <w:color w:val="605E5C"/>
      <w:shd w:val="clear" w:color="auto" w:fill="E1DFDD"/>
    </w:rPr>
  </w:style>
  <w:style w:type="character" w:styleId="PageNumber">
    <w:name w:val="page number"/>
    <w:basedOn w:val="DefaultParagraphFont"/>
    <w:uiPriority w:val="99"/>
    <w:semiHidden/>
    <w:unhideWhenUsed/>
    <w:rsid w:val="00A44201"/>
  </w:style>
  <w:style w:type="table" w:customStyle="1" w:styleId="TableGrid1">
    <w:name w:val="Table Grid1"/>
    <w:basedOn w:val="TableNormal"/>
    <w:uiPriority w:val="59"/>
    <w:rsid w:val="00A44201"/>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3">
    <w:name w:val="Unresolved Mention3"/>
    <w:basedOn w:val="DefaultParagraphFont"/>
    <w:uiPriority w:val="99"/>
    <w:semiHidden/>
    <w:unhideWhenUsed/>
    <w:rsid w:val="00A44201"/>
    <w:rPr>
      <w:color w:val="605E5C"/>
      <w:shd w:val="clear" w:color="auto" w:fill="E1DFDD"/>
    </w:rPr>
  </w:style>
  <w:style w:type="character" w:customStyle="1" w:styleId="UnresolvedMention4">
    <w:name w:val="Unresolved Mention4"/>
    <w:basedOn w:val="DefaultParagraphFont"/>
    <w:uiPriority w:val="99"/>
    <w:semiHidden/>
    <w:unhideWhenUsed/>
    <w:rsid w:val="00A44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423815">
      <w:bodyDiv w:val="1"/>
      <w:marLeft w:val="0"/>
      <w:marRight w:val="0"/>
      <w:marTop w:val="0"/>
      <w:marBottom w:val="0"/>
      <w:divBdr>
        <w:top w:val="none" w:sz="0" w:space="0" w:color="auto"/>
        <w:left w:val="none" w:sz="0" w:space="0" w:color="auto"/>
        <w:bottom w:val="none" w:sz="0" w:space="0" w:color="auto"/>
        <w:right w:val="none" w:sz="0" w:space="0" w:color="auto"/>
      </w:divBdr>
      <w:divsChild>
        <w:div w:id="297300016">
          <w:marLeft w:val="0"/>
          <w:marRight w:val="0"/>
          <w:marTop w:val="0"/>
          <w:marBottom w:val="0"/>
          <w:divBdr>
            <w:top w:val="none" w:sz="0" w:space="0" w:color="auto"/>
            <w:left w:val="none" w:sz="0" w:space="0" w:color="auto"/>
            <w:bottom w:val="none" w:sz="0" w:space="0" w:color="auto"/>
            <w:right w:val="none" w:sz="0" w:space="0" w:color="auto"/>
          </w:divBdr>
          <w:divsChild>
            <w:div w:id="1587373637">
              <w:marLeft w:val="0"/>
              <w:marRight w:val="0"/>
              <w:marTop w:val="0"/>
              <w:marBottom w:val="0"/>
              <w:divBdr>
                <w:top w:val="none" w:sz="0" w:space="0" w:color="auto"/>
                <w:left w:val="none" w:sz="0" w:space="0" w:color="auto"/>
                <w:bottom w:val="none" w:sz="0" w:space="0" w:color="auto"/>
                <w:right w:val="none" w:sz="0" w:space="0" w:color="auto"/>
              </w:divBdr>
              <w:divsChild>
                <w:div w:id="1645424752">
                  <w:marLeft w:val="0"/>
                  <w:marRight w:val="0"/>
                  <w:marTop w:val="0"/>
                  <w:marBottom w:val="0"/>
                  <w:divBdr>
                    <w:top w:val="none" w:sz="0" w:space="0" w:color="auto"/>
                    <w:left w:val="none" w:sz="0" w:space="0" w:color="auto"/>
                    <w:bottom w:val="none" w:sz="0" w:space="0" w:color="auto"/>
                    <w:right w:val="none" w:sz="0" w:space="0" w:color="auto"/>
                  </w:divBdr>
                  <w:divsChild>
                    <w:div w:id="58145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2137</Characters>
  <Application>Microsoft Office Word</Application>
  <DocSecurity>0</DocSecurity>
  <Lines>178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Office User</cp:lastModifiedBy>
  <cp:revision>2</cp:revision>
  <cp:lastPrinted>2020-08-16T09:31:00Z</cp:lastPrinted>
  <dcterms:created xsi:type="dcterms:W3CDTF">2022-05-26T10:49:00Z</dcterms:created>
  <dcterms:modified xsi:type="dcterms:W3CDTF">2022-05-26T10:49:00Z</dcterms:modified>
</cp:coreProperties>
</file>