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CFA53" w14:textId="77777777" w:rsidR="003B467A" w:rsidRPr="003B467A" w:rsidRDefault="003B467A" w:rsidP="003B467A">
      <w:pPr>
        <w:spacing w:after="0" w:line="240" w:lineRule="auto"/>
        <w:rPr>
          <w:rFonts w:ascii="Times New Roman" w:eastAsia="Times New Roman" w:hAnsi="Times New Roman" w:cs="Times New Roman"/>
          <w:sz w:val="24"/>
          <w:szCs w:val="24"/>
        </w:rPr>
      </w:pPr>
    </w:p>
    <w:p w14:paraId="7CEC1565"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b/>
          <w:bCs/>
          <w:color w:val="000000"/>
        </w:rPr>
        <w:t>Significance:</w:t>
      </w:r>
    </w:p>
    <w:p w14:paraId="07FDBC54"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color w:val="000000"/>
        </w:rPr>
        <w:t>Despite progressive reductions, there were 295,000 maternal deaths in the year 2017, largely from postpartum hemorrhage (PPH). There are many known risk factors for PPH; however, approximately 20% PPH cases have no identifiable risk factors.</w:t>
      </w:r>
    </w:p>
    <w:p w14:paraId="2C2EA714"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color w:val="000000"/>
        </w:rPr>
        <w:t>The purpose of this study was to identify new risk factors associated with PPH using k-means clustering as the first step in developing new methods of risk stratification utilizing patient demographics and chart data readily available pre-and antepartum.</w:t>
      </w:r>
    </w:p>
    <w:p w14:paraId="14CC6576" w14:textId="77777777" w:rsidR="003B467A" w:rsidRPr="003B467A" w:rsidRDefault="003B467A" w:rsidP="003B467A">
      <w:pPr>
        <w:spacing w:after="0" w:line="240" w:lineRule="auto"/>
        <w:rPr>
          <w:rFonts w:ascii="Times New Roman" w:eastAsia="Times New Roman" w:hAnsi="Times New Roman" w:cs="Times New Roman"/>
          <w:sz w:val="24"/>
          <w:szCs w:val="24"/>
        </w:rPr>
      </w:pPr>
    </w:p>
    <w:p w14:paraId="005D2661"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b/>
          <w:bCs/>
          <w:color w:val="000000"/>
        </w:rPr>
        <w:t>Methods:</w:t>
      </w:r>
    </w:p>
    <w:p w14:paraId="109607CC"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color w:val="000000"/>
        </w:rPr>
        <w:t>An observational study utilizing machine learning to elucidate predictive patterns within vaginal and cesarean (section) deliveries from 2016-2018 within the Mount Sinai Medical System. Patients were clustered using k-means clustering on simple demographic (maternal age (MA), maternal BMI (MBMI), fetal weight (</w:t>
      </w:r>
      <w:proofErr w:type="spellStart"/>
      <w:r w:rsidRPr="003B467A">
        <w:rPr>
          <w:rFonts w:ascii="Arial" w:eastAsia="Times New Roman" w:hAnsi="Arial" w:cs="Arial"/>
          <w:color w:val="000000"/>
        </w:rPr>
        <w:t>FtWt</w:t>
      </w:r>
      <w:proofErr w:type="spellEnd"/>
      <w:r w:rsidRPr="003B467A">
        <w:rPr>
          <w:rFonts w:ascii="Arial" w:eastAsia="Times New Roman" w:hAnsi="Arial" w:cs="Arial"/>
          <w:color w:val="000000"/>
        </w:rPr>
        <w:t>), gravidity, parity, gestational age (GA)), platelet (PLT), and hematocrit (HCT). Patients’ risk of PPH was determined by the Admission Hemorrhage Risk (AHR).</w:t>
      </w:r>
    </w:p>
    <w:p w14:paraId="66B5C532" w14:textId="77777777" w:rsidR="003B467A" w:rsidRPr="003B467A" w:rsidRDefault="003B467A" w:rsidP="003B467A">
      <w:pPr>
        <w:spacing w:after="0" w:line="240" w:lineRule="auto"/>
        <w:rPr>
          <w:rFonts w:ascii="Times New Roman" w:eastAsia="Times New Roman" w:hAnsi="Times New Roman" w:cs="Times New Roman"/>
          <w:sz w:val="24"/>
          <w:szCs w:val="24"/>
        </w:rPr>
      </w:pPr>
    </w:p>
    <w:p w14:paraId="665AFE30"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b/>
          <w:bCs/>
          <w:color w:val="000000"/>
        </w:rPr>
        <w:t>Results</w:t>
      </w:r>
      <w:r w:rsidRPr="003B467A">
        <w:rPr>
          <w:rFonts w:ascii="Arial" w:eastAsia="Times New Roman" w:hAnsi="Arial" w:cs="Arial"/>
          <w:color w:val="000000"/>
        </w:rPr>
        <w:t>:</w:t>
      </w:r>
    </w:p>
    <w:p w14:paraId="4BD6607D"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color w:val="000000"/>
        </w:rPr>
        <w:t>There were 4,482 patients who underwent vaginal delivery. Two clusters were determined to be optimal for this group. Group 1</w:t>
      </w:r>
      <w:r w:rsidRPr="003B467A">
        <w:rPr>
          <w:rFonts w:ascii="Arial" w:eastAsia="Times New Roman" w:hAnsi="Arial" w:cs="Arial"/>
          <w:color w:val="000000"/>
          <w:sz w:val="13"/>
          <w:szCs w:val="13"/>
          <w:vertAlign w:val="subscript"/>
        </w:rPr>
        <w:t>v</w:t>
      </w:r>
      <w:r w:rsidRPr="003B467A">
        <w:rPr>
          <w:rFonts w:ascii="Arial" w:eastAsia="Times New Roman" w:hAnsi="Arial" w:cs="Arial"/>
          <w:color w:val="000000"/>
        </w:rPr>
        <w:t xml:space="preserve"> had 3685 patients and Group 2</w:t>
      </w:r>
      <w:r w:rsidRPr="003B467A">
        <w:rPr>
          <w:rFonts w:ascii="Arial" w:eastAsia="Times New Roman" w:hAnsi="Arial" w:cs="Arial"/>
          <w:color w:val="000000"/>
          <w:sz w:val="13"/>
          <w:szCs w:val="13"/>
          <w:vertAlign w:val="subscript"/>
        </w:rPr>
        <w:t>v</w:t>
      </w:r>
      <w:r w:rsidRPr="003B467A">
        <w:rPr>
          <w:rFonts w:ascii="Arial" w:eastAsia="Times New Roman" w:hAnsi="Arial" w:cs="Arial"/>
          <w:color w:val="000000"/>
        </w:rPr>
        <w:t xml:space="preserve"> had 797 patients. The following were statistically and clinically significant between Group 1</w:t>
      </w:r>
      <w:r w:rsidRPr="003B467A">
        <w:rPr>
          <w:rFonts w:ascii="Arial" w:eastAsia="Times New Roman" w:hAnsi="Arial" w:cs="Arial"/>
          <w:color w:val="000000"/>
          <w:sz w:val="13"/>
          <w:szCs w:val="13"/>
          <w:vertAlign w:val="subscript"/>
        </w:rPr>
        <w:t>v</w:t>
      </w:r>
      <w:r w:rsidRPr="003B467A">
        <w:rPr>
          <w:rFonts w:ascii="Arial" w:eastAsia="Times New Roman" w:hAnsi="Arial" w:cs="Arial"/>
          <w:color w:val="000000"/>
        </w:rPr>
        <w:t xml:space="preserve"> vs Group 2</w:t>
      </w:r>
      <w:r w:rsidRPr="003B467A">
        <w:rPr>
          <w:rFonts w:ascii="Arial" w:eastAsia="Times New Roman" w:hAnsi="Arial" w:cs="Arial"/>
          <w:color w:val="000000"/>
          <w:sz w:val="13"/>
          <w:szCs w:val="13"/>
          <w:vertAlign w:val="subscript"/>
        </w:rPr>
        <w:t>v</w:t>
      </w:r>
      <w:r w:rsidRPr="003B467A">
        <w:rPr>
          <w:rFonts w:ascii="Arial" w:eastAsia="Times New Roman" w:hAnsi="Arial" w:cs="Arial"/>
          <w:color w:val="000000"/>
        </w:rPr>
        <w:t xml:space="preserve"> (p &lt; 0.001): gravidity, parity, race, MBMI, AHR, TBL. The following were not clinically significant, although may have carried statistical significance: MA, </w:t>
      </w:r>
      <w:proofErr w:type="spellStart"/>
      <w:r w:rsidRPr="003B467A">
        <w:rPr>
          <w:rFonts w:ascii="Arial" w:eastAsia="Times New Roman" w:hAnsi="Arial" w:cs="Arial"/>
          <w:color w:val="000000"/>
        </w:rPr>
        <w:t>FtWt</w:t>
      </w:r>
      <w:proofErr w:type="spellEnd"/>
      <w:r w:rsidRPr="003B467A">
        <w:rPr>
          <w:rFonts w:ascii="Arial" w:eastAsia="Times New Roman" w:hAnsi="Arial" w:cs="Arial"/>
          <w:color w:val="000000"/>
        </w:rPr>
        <w:t>, GA, HCT, PLT, 30-and 90-day readmission (p &gt; 0.05). </w:t>
      </w:r>
    </w:p>
    <w:p w14:paraId="7A406835" w14:textId="77777777" w:rsidR="003B467A" w:rsidRPr="003B467A" w:rsidRDefault="003B467A" w:rsidP="003B467A">
      <w:pPr>
        <w:spacing w:after="0" w:line="240" w:lineRule="auto"/>
        <w:rPr>
          <w:rFonts w:ascii="Times New Roman" w:eastAsia="Times New Roman" w:hAnsi="Times New Roman" w:cs="Times New Roman"/>
          <w:sz w:val="24"/>
          <w:szCs w:val="24"/>
        </w:rPr>
      </w:pPr>
    </w:p>
    <w:p w14:paraId="13EAC06D"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color w:val="000000"/>
        </w:rPr>
        <w:t>There were 2,263 patients who underwent sections. Three clusters were determined to be optimal for this group. Group 1</w:t>
      </w:r>
      <w:r w:rsidRPr="003B467A">
        <w:rPr>
          <w:rFonts w:ascii="Arial" w:eastAsia="Times New Roman" w:hAnsi="Arial" w:cs="Arial"/>
          <w:color w:val="000000"/>
          <w:sz w:val="13"/>
          <w:szCs w:val="13"/>
          <w:vertAlign w:val="subscript"/>
        </w:rPr>
        <w:t>c</w:t>
      </w:r>
      <w:r w:rsidRPr="003B467A">
        <w:rPr>
          <w:rFonts w:ascii="Arial" w:eastAsia="Times New Roman" w:hAnsi="Arial" w:cs="Arial"/>
          <w:color w:val="000000"/>
        </w:rPr>
        <w:t xml:space="preserve"> had 306 patients, Group 2</w:t>
      </w:r>
      <w:r w:rsidRPr="003B467A">
        <w:rPr>
          <w:rFonts w:ascii="Arial" w:eastAsia="Times New Roman" w:hAnsi="Arial" w:cs="Arial"/>
          <w:color w:val="000000"/>
          <w:sz w:val="13"/>
          <w:szCs w:val="13"/>
          <w:vertAlign w:val="subscript"/>
        </w:rPr>
        <w:t>c</w:t>
      </w:r>
      <w:r w:rsidRPr="003B467A">
        <w:rPr>
          <w:rFonts w:ascii="Arial" w:eastAsia="Times New Roman" w:hAnsi="Arial" w:cs="Arial"/>
          <w:color w:val="000000"/>
        </w:rPr>
        <w:t xml:space="preserve"> had 1681 patients, and Group 3</w:t>
      </w:r>
      <w:r w:rsidRPr="003B467A">
        <w:rPr>
          <w:rFonts w:ascii="Arial" w:eastAsia="Times New Roman" w:hAnsi="Arial" w:cs="Arial"/>
          <w:color w:val="000000"/>
          <w:sz w:val="13"/>
          <w:szCs w:val="13"/>
          <w:vertAlign w:val="subscript"/>
        </w:rPr>
        <w:t>c</w:t>
      </w:r>
      <w:r w:rsidRPr="003B467A">
        <w:rPr>
          <w:rFonts w:ascii="Arial" w:eastAsia="Times New Roman" w:hAnsi="Arial" w:cs="Arial"/>
          <w:color w:val="000000"/>
        </w:rPr>
        <w:t xml:space="preserve"> had 276 patients. The following were statistically and clinically significant between Group 1</w:t>
      </w:r>
      <w:r w:rsidRPr="003B467A">
        <w:rPr>
          <w:rFonts w:ascii="Arial" w:eastAsia="Times New Roman" w:hAnsi="Arial" w:cs="Arial"/>
          <w:color w:val="000000"/>
          <w:sz w:val="13"/>
          <w:szCs w:val="13"/>
          <w:vertAlign w:val="subscript"/>
        </w:rPr>
        <w:t>c</w:t>
      </w:r>
      <w:r w:rsidRPr="003B467A">
        <w:rPr>
          <w:rFonts w:ascii="Arial" w:eastAsia="Times New Roman" w:hAnsi="Arial" w:cs="Arial"/>
          <w:color w:val="000000"/>
        </w:rPr>
        <w:t xml:space="preserve"> vs Group 2</w:t>
      </w:r>
      <w:r w:rsidRPr="003B467A">
        <w:rPr>
          <w:rFonts w:ascii="Arial" w:eastAsia="Times New Roman" w:hAnsi="Arial" w:cs="Arial"/>
          <w:color w:val="000000"/>
          <w:sz w:val="13"/>
          <w:szCs w:val="13"/>
          <w:vertAlign w:val="subscript"/>
        </w:rPr>
        <w:t>c</w:t>
      </w:r>
      <w:r w:rsidRPr="003B467A">
        <w:rPr>
          <w:rFonts w:ascii="Arial" w:eastAsia="Times New Roman" w:hAnsi="Arial" w:cs="Arial"/>
          <w:color w:val="000000"/>
        </w:rPr>
        <w:t xml:space="preserve"> vs Group 3</w:t>
      </w:r>
      <w:r w:rsidRPr="003B467A">
        <w:rPr>
          <w:rFonts w:ascii="Arial" w:eastAsia="Times New Roman" w:hAnsi="Arial" w:cs="Arial"/>
          <w:color w:val="000000"/>
          <w:sz w:val="13"/>
          <w:szCs w:val="13"/>
          <w:vertAlign w:val="subscript"/>
        </w:rPr>
        <w:t xml:space="preserve">c </w:t>
      </w:r>
      <w:r w:rsidRPr="003B467A">
        <w:rPr>
          <w:rFonts w:ascii="Arial" w:eastAsia="Times New Roman" w:hAnsi="Arial" w:cs="Arial"/>
          <w:color w:val="000000"/>
        </w:rPr>
        <w:t xml:space="preserve">(p &lt; 0.001): gravidity, parity, GA, race, </w:t>
      </w:r>
      <w:proofErr w:type="spellStart"/>
      <w:r w:rsidRPr="003B467A">
        <w:rPr>
          <w:rFonts w:ascii="Arial" w:eastAsia="Times New Roman" w:hAnsi="Arial" w:cs="Arial"/>
          <w:color w:val="000000"/>
        </w:rPr>
        <w:t>FtWt</w:t>
      </w:r>
      <w:proofErr w:type="spellEnd"/>
      <w:r w:rsidRPr="003B467A">
        <w:rPr>
          <w:rFonts w:ascii="Arial" w:eastAsia="Times New Roman" w:hAnsi="Arial" w:cs="Arial"/>
          <w:color w:val="000000"/>
        </w:rPr>
        <w:t>, MBMI, AHR, TBL. The following were not clinically significant, although may have carried statistical significance: MA, HCT, PLT, 30-and 90-day readmission (p &gt; 0.05).</w:t>
      </w:r>
    </w:p>
    <w:p w14:paraId="2FE4E326" w14:textId="77777777" w:rsidR="003B467A" w:rsidRPr="003B467A" w:rsidRDefault="003B467A" w:rsidP="003B467A">
      <w:pPr>
        <w:spacing w:after="0" w:line="240" w:lineRule="auto"/>
        <w:rPr>
          <w:rFonts w:ascii="Times New Roman" w:eastAsia="Times New Roman" w:hAnsi="Times New Roman" w:cs="Times New Roman"/>
          <w:sz w:val="24"/>
          <w:szCs w:val="24"/>
        </w:rPr>
      </w:pPr>
    </w:p>
    <w:p w14:paraId="7AEB0291"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b/>
          <w:bCs/>
          <w:color w:val="000000"/>
        </w:rPr>
        <w:t>Conclusion</w:t>
      </w:r>
      <w:r w:rsidRPr="003B467A">
        <w:rPr>
          <w:rFonts w:ascii="Arial" w:eastAsia="Times New Roman" w:hAnsi="Arial" w:cs="Arial"/>
          <w:color w:val="000000"/>
        </w:rPr>
        <w:t>:</w:t>
      </w:r>
    </w:p>
    <w:p w14:paraId="24CE65BF"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color w:val="000000"/>
        </w:rPr>
        <w:t>From the vaginal clustering results, increased gravidity is associated with decreased average TBL regardless of AHR. Further improvements to the AHR classification and our understanding of gravidity effects on PPH risk are needed.</w:t>
      </w:r>
    </w:p>
    <w:p w14:paraId="1D22079C" w14:textId="77777777" w:rsidR="003B467A" w:rsidRPr="003B467A" w:rsidRDefault="003B467A" w:rsidP="003B467A">
      <w:pPr>
        <w:spacing w:after="0" w:line="240" w:lineRule="auto"/>
        <w:rPr>
          <w:rFonts w:ascii="Times New Roman" w:eastAsia="Times New Roman" w:hAnsi="Times New Roman" w:cs="Times New Roman"/>
          <w:sz w:val="24"/>
          <w:szCs w:val="24"/>
        </w:rPr>
      </w:pPr>
      <w:r w:rsidRPr="003B467A">
        <w:rPr>
          <w:rFonts w:ascii="Arial" w:eastAsia="Times New Roman" w:hAnsi="Arial" w:cs="Arial"/>
          <w:color w:val="000000"/>
        </w:rPr>
        <w:t>From the section results, Group 3</w:t>
      </w:r>
      <w:proofErr w:type="gramStart"/>
      <w:r w:rsidRPr="003B467A">
        <w:rPr>
          <w:rFonts w:ascii="Arial" w:eastAsia="Times New Roman" w:hAnsi="Arial" w:cs="Arial"/>
          <w:color w:val="000000"/>
          <w:sz w:val="13"/>
          <w:szCs w:val="13"/>
          <w:vertAlign w:val="subscript"/>
        </w:rPr>
        <w:t xml:space="preserve">c </w:t>
      </w:r>
      <w:r w:rsidRPr="003B467A">
        <w:rPr>
          <w:rFonts w:ascii="Arial" w:eastAsia="Times New Roman" w:hAnsi="Arial" w:cs="Arial"/>
          <w:color w:val="000000"/>
        </w:rPr>
        <w:t> was</w:t>
      </w:r>
      <w:proofErr w:type="gramEnd"/>
      <w:r w:rsidRPr="003B467A">
        <w:rPr>
          <w:rFonts w:ascii="Arial" w:eastAsia="Times New Roman" w:hAnsi="Arial" w:cs="Arial"/>
          <w:color w:val="000000"/>
        </w:rPr>
        <w:t xml:space="preserve"> the “high-risk” group averaging &gt;1000mL TBL. Major associations were decreased gravidity, parity, </w:t>
      </w:r>
      <w:proofErr w:type="spellStart"/>
      <w:r w:rsidRPr="003B467A">
        <w:rPr>
          <w:rFonts w:ascii="Arial" w:eastAsia="Times New Roman" w:hAnsi="Arial" w:cs="Arial"/>
          <w:color w:val="000000"/>
        </w:rPr>
        <w:t>FtWt</w:t>
      </w:r>
      <w:proofErr w:type="spellEnd"/>
      <w:r w:rsidRPr="003B467A">
        <w:rPr>
          <w:rFonts w:ascii="Arial" w:eastAsia="Times New Roman" w:hAnsi="Arial" w:cs="Arial"/>
          <w:color w:val="000000"/>
        </w:rPr>
        <w:t>, AHR and race. More work to provide increased care-coordination for first-time deliveries to reduce the risk of PPH is paramount. </w:t>
      </w:r>
    </w:p>
    <w:p w14:paraId="6E90EA37" w14:textId="77777777" w:rsidR="00932815" w:rsidRDefault="00932815"/>
    <w:sectPr w:rsidR="009328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67A"/>
    <w:rsid w:val="003B467A"/>
    <w:rsid w:val="00932815"/>
    <w:rsid w:val="009E6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7B83C"/>
  <w15:chartTrackingRefBased/>
  <w15:docId w15:val="{F7B49B93-C45B-4412-83DB-3CDB66593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46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799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376</Words>
  <Characters>2145</Characters>
  <Application>Microsoft Office Word</Application>
  <DocSecurity>0</DocSecurity>
  <Lines>17</Lines>
  <Paragraphs>5</Paragraphs>
  <ScaleCrop>false</ScaleCrop>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Warburton</dc:creator>
  <cp:keywords/>
  <dc:description/>
  <cp:lastModifiedBy>Andrew Warburton</cp:lastModifiedBy>
  <cp:revision>1</cp:revision>
  <dcterms:created xsi:type="dcterms:W3CDTF">2020-12-21T18:04:00Z</dcterms:created>
  <dcterms:modified xsi:type="dcterms:W3CDTF">2020-12-21T18:04:00Z</dcterms:modified>
</cp:coreProperties>
</file>