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45E" w:rsidRPr="002E0E96" w:rsidRDefault="001A445E" w:rsidP="001A445E">
      <w:pPr>
        <w:autoSpaceDE w:val="0"/>
        <w:autoSpaceDN w:val="0"/>
        <w:bidi w:val="0"/>
        <w:adjustRightInd w:val="0"/>
        <w:spacing w:after="0" w:line="240" w:lineRule="auto"/>
        <w:jc w:val="center"/>
        <w:rPr>
          <w:rFonts w:ascii="CapitoliumNews-Regular" w:eastAsiaTheme="minorHAnsi" w:hAnsi="CapitoliumNews-Regular" w:cs="CapitoliumNews-Regular"/>
          <w:sz w:val="30"/>
          <w:szCs w:val="30"/>
        </w:rPr>
      </w:pPr>
      <w:r>
        <w:rPr>
          <w:rFonts w:ascii="CapitoliumNews-Regular" w:eastAsiaTheme="minorHAnsi" w:hAnsi="CapitoliumNews-Regular" w:cs="CapitoliumNews-Regular"/>
          <w:sz w:val="30"/>
          <w:szCs w:val="30"/>
        </w:rPr>
        <w:t xml:space="preserve">Readability and Suitability Assessment of Educational Materials in </w:t>
      </w:r>
      <w:r w:rsidRPr="002E0E96">
        <w:rPr>
          <w:rFonts w:ascii="CapitoliumNews-Regular" w:eastAsiaTheme="minorHAnsi" w:hAnsi="CapitoliumNews-Regular" w:cs="CapitoliumNews-Regular"/>
          <w:sz w:val="30"/>
          <w:szCs w:val="30"/>
        </w:rPr>
        <w:t>Promoting the Quality of Life</w:t>
      </w:r>
      <w:r>
        <w:rPr>
          <w:rFonts w:ascii="CapitoliumNews-Regular" w:eastAsiaTheme="minorHAnsi" w:hAnsi="CapitoliumNews-Regular" w:cs="CapitoliumNews-Regular"/>
          <w:sz w:val="30"/>
          <w:szCs w:val="30"/>
        </w:rPr>
        <w:t xml:space="preserve"> for Postmenopausal Women </w:t>
      </w:r>
    </w:p>
    <w:p w:rsidR="001A445E" w:rsidRDefault="001A445E" w:rsidP="001A445E">
      <w:pPr>
        <w:bidi w:val="0"/>
        <w:rPr>
          <w:rFonts w:ascii="Times New Roman" w:eastAsia="Times New Roman" w:hAnsi="Times New Roman" w:cs="Times New Roman"/>
          <w:sz w:val="24"/>
          <w:szCs w:val="24"/>
        </w:rPr>
      </w:pPr>
    </w:p>
    <w:p w:rsidR="001A445E" w:rsidRDefault="00792EF3" w:rsidP="00792EF3">
      <w:pPr>
        <w:bidi w:v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Nooshin</w:t>
      </w:r>
      <w:proofErr w:type="spellEnd"/>
      <w:r>
        <w:rPr>
          <w:rFonts w:ascii="Times New Roman" w:eastAsia="Times New Roman" w:hAnsi="Times New Roman" w:cs="Times New Roman"/>
          <w:sz w:val="24"/>
          <w:szCs w:val="24"/>
        </w:rPr>
        <w:t xml:space="preserve"> Yoshany</w:t>
      </w:r>
      <w:r>
        <w:rPr>
          <w:rFonts w:ascii="Times New Roman" w:eastAsia="Times New Roman" w:hAnsi="Times New Roman" w:cs="Times New Roman"/>
          <w:sz w:val="24"/>
          <w:szCs w:val="24"/>
          <w:vertAlign w:val="superscript"/>
        </w:rPr>
        <w:t>2*</w:t>
      </w:r>
      <w:proofErr w:type="gramStart"/>
      <w:r>
        <w:rPr>
          <w:rFonts w:ascii="Times New Roman" w:eastAsia="Times New Roman" w:hAnsi="Times New Roman" w:cs="Times New Roman"/>
          <w:sz w:val="24"/>
          <w:szCs w:val="24"/>
        </w:rPr>
        <w:t>,</w:t>
      </w:r>
      <w:r w:rsidR="001A445E">
        <w:rPr>
          <w:rFonts w:ascii="Times New Roman" w:eastAsia="Times New Roman" w:hAnsi="Times New Roman" w:cs="Times New Roman"/>
          <w:sz w:val="24"/>
          <w:szCs w:val="24"/>
        </w:rPr>
        <w:t>Mohammad</w:t>
      </w:r>
      <w:proofErr w:type="gramEnd"/>
      <w:r w:rsidR="001A445E">
        <w:rPr>
          <w:rFonts w:ascii="Times New Roman" w:eastAsia="Times New Roman" w:hAnsi="Times New Roman" w:cs="Times New Roman"/>
          <w:sz w:val="24"/>
          <w:szCs w:val="24"/>
        </w:rPr>
        <w:t xml:space="preserve"> Ali Morowatisharifabad</w:t>
      </w:r>
      <w:r w:rsidR="001A445E">
        <w:rPr>
          <w:rFonts w:ascii="Times New Roman" w:eastAsia="Times New Roman" w:hAnsi="Times New Roman" w:cs="Times New Roman"/>
          <w:sz w:val="24"/>
          <w:szCs w:val="24"/>
          <w:vertAlign w:val="superscript"/>
        </w:rPr>
        <w:t>1</w:t>
      </w:r>
      <w:r w:rsidR="001A445E">
        <w:rPr>
          <w:rFonts w:ascii="Times New Roman" w:eastAsia="Times New Roman" w:hAnsi="Times New Roman" w:cs="Times New Roman"/>
          <w:sz w:val="24"/>
          <w:szCs w:val="24"/>
        </w:rPr>
        <w:t xml:space="preserve">, </w:t>
      </w:r>
      <w:proofErr w:type="spellStart"/>
      <w:r w:rsidR="001A445E">
        <w:rPr>
          <w:rFonts w:ascii="Times New Roman" w:eastAsia="Times New Roman" w:hAnsi="Times New Roman" w:cs="Times New Roman"/>
          <w:sz w:val="24"/>
          <w:szCs w:val="24"/>
        </w:rPr>
        <w:t>Manoj</w:t>
      </w:r>
      <w:proofErr w:type="spellEnd"/>
      <w:r w:rsidR="001A445E">
        <w:rPr>
          <w:rFonts w:ascii="Times New Roman" w:eastAsia="Times New Roman" w:hAnsi="Times New Roman" w:cs="Times New Roman"/>
          <w:sz w:val="24"/>
          <w:szCs w:val="24"/>
        </w:rPr>
        <w:t xml:space="preserve"> Sharma</w:t>
      </w:r>
      <w:r w:rsidR="001A445E">
        <w:rPr>
          <w:rFonts w:ascii="Times New Roman" w:eastAsia="Times New Roman" w:hAnsi="Times New Roman" w:cs="Times New Roman"/>
          <w:sz w:val="24"/>
          <w:szCs w:val="24"/>
          <w:vertAlign w:val="superscript"/>
        </w:rPr>
        <w:t>3</w:t>
      </w:r>
      <w:r w:rsidR="001A445E">
        <w:rPr>
          <w:rFonts w:ascii="Times New Roman" w:eastAsia="Times New Roman" w:hAnsi="Times New Roman" w:cs="Times New Roman"/>
          <w:sz w:val="24"/>
          <w:szCs w:val="24"/>
        </w:rPr>
        <w:t xml:space="preserve">, </w:t>
      </w:r>
      <w:proofErr w:type="spellStart"/>
      <w:r w:rsidR="001A445E">
        <w:rPr>
          <w:rFonts w:ascii="Times New Roman" w:eastAsia="Times New Roman" w:hAnsi="Times New Roman" w:cs="Times New Roman"/>
          <w:sz w:val="24"/>
          <w:szCs w:val="24"/>
        </w:rPr>
        <w:t>Narges</w:t>
      </w:r>
      <w:proofErr w:type="spellEnd"/>
      <w:r w:rsidR="001A445E">
        <w:rPr>
          <w:rFonts w:ascii="Times New Roman" w:eastAsia="Times New Roman" w:hAnsi="Times New Roman" w:cs="Times New Roman"/>
          <w:sz w:val="24"/>
          <w:szCs w:val="24"/>
        </w:rPr>
        <w:t xml:space="preserve"> Bahri</w:t>
      </w:r>
      <w:r w:rsidR="001A445E">
        <w:rPr>
          <w:rFonts w:ascii="Times New Roman" w:eastAsia="Times New Roman" w:hAnsi="Times New Roman" w:cs="Times New Roman"/>
          <w:sz w:val="24"/>
          <w:szCs w:val="24"/>
          <w:vertAlign w:val="superscript"/>
        </w:rPr>
        <w:t>4</w:t>
      </w:r>
      <w:r w:rsidR="001A445E">
        <w:rPr>
          <w:rFonts w:ascii="Times New Roman" w:eastAsia="Times New Roman" w:hAnsi="Times New Roman" w:cs="Times New Roman"/>
          <w:sz w:val="24"/>
          <w:szCs w:val="24"/>
        </w:rPr>
        <w:t>, Sara Jambarsang</w:t>
      </w:r>
      <w:r w:rsidR="001A445E">
        <w:rPr>
          <w:rFonts w:ascii="Times New Roman" w:eastAsia="Times New Roman" w:hAnsi="Times New Roman" w:cs="Times New Roman"/>
          <w:sz w:val="24"/>
          <w:szCs w:val="24"/>
          <w:vertAlign w:val="superscript"/>
        </w:rPr>
        <w:t>5</w:t>
      </w:r>
    </w:p>
    <w:p w:rsidR="00792EF3" w:rsidRDefault="00792EF3" w:rsidP="00792EF3">
      <w:pPr>
        <w:pStyle w:val="ListParagraph"/>
        <w:numPr>
          <w:ilvl w:val="0"/>
          <w:numId w:val="1"/>
        </w:numPr>
        <w:bidi w:val="0"/>
        <w:jc w:val="both"/>
        <w:rPr>
          <w:rFonts w:ascii="Times New Roman" w:eastAsia="Times New Roman" w:hAnsi="Times New Roman" w:cs="Times New Roman"/>
        </w:rPr>
      </w:pPr>
      <w:r w:rsidRPr="00D40D22">
        <w:rPr>
          <w:rFonts w:ascii="Times New Roman" w:eastAsia="Times New Roman" w:hAnsi="Times New Roman" w:cs="Times New Roman"/>
        </w:rPr>
        <w:t>Corresponding author: PhD Student in Health Education &amp; Health Promotion, Social Determinants of Health Research Center, School of Public Health, Shahid</w:t>
      </w:r>
      <w:r>
        <w:rPr>
          <w:rFonts w:ascii="Times New Roman" w:eastAsia="Times New Roman" w:hAnsi="Times New Roman" w:cs="Times New Roman"/>
        </w:rPr>
        <w:t xml:space="preserve"> </w:t>
      </w:r>
      <w:r w:rsidRPr="00D40D22">
        <w:rPr>
          <w:rFonts w:ascii="Times New Roman" w:eastAsia="Times New Roman" w:hAnsi="Times New Roman" w:cs="Times New Roman"/>
        </w:rPr>
        <w:t xml:space="preserve">Sadoughi University of Medical Sciences, Yazd, </w:t>
      </w:r>
      <w:proofErr w:type="spellStart"/>
      <w:r w:rsidRPr="00D40D22">
        <w:rPr>
          <w:rFonts w:ascii="Times New Roman" w:eastAsia="Times New Roman" w:hAnsi="Times New Roman" w:cs="Times New Roman"/>
        </w:rPr>
        <w:t>Iran.</w:t>
      </w:r>
      <w:r>
        <w:rPr>
          <w:rFonts w:ascii="Times New Roman" w:eastAsia="Times New Roman" w:hAnsi="Times New Roman" w:cs="Times New Roman"/>
          <w:sz w:val="18"/>
          <w:szCs w:val="18"/>
        </w:rPr>
        <w:t>Tell</w:t>
      </w:r>
      <w:proofErr w:type="spellEnd"/>
      <w:r>
        <w:rPr>
          <w:rFonts w:ascii="Times New Roman" w:eastAsia="Times New Roman" w:hAnsi="Times New Roman" w:cs="Times New Roman"/>
          <w:sz w:val="18"/>
          <w:szCs w:val="18"/>
        </w:rPr>
        <w:t xml:space="preserve">: +989133511170  </w:t>
      </w:r>
      <w:r w:rsidRPr="00091028">
        <w:rPr>
          <w:rFonts w:ascii="Times New Roman" w:eastAsia="Times New Roman" w:hAnsi="Times New Roman" w:cs="Times New Roman"/>
          <w:sz w:val="18"/>
          <w:szCs w:val="18"/>
        </w:rPr>
        <w:t>Email:nooshin.yoshany@yahoo.com</w:t>
      </w:r>
    </w:p>
    <w:p w:rsidR="001A445E" w:rsidRPr="00D40D22" w:rsidRDefault="001A445E" w:rsidP="00792EF3">
      <w:pPr>
        <w:pStyle w:val="ListParagraph"/>
        <w:numPr>
          <w:ilvl w:val="0"/>
          <w:numId w:val="1"/>
        </w:numPr>
        <w:bidi w:val="0"/>
        <w:jc w:val="both"/>
        <w:rPr>
          <w:rFonts w:ascii="Times New Roman" w:eastAsia="Times New Roman" w:hAnsi="Times New Roman" w:cs="Times New Roman"/>
        </w:rPr>
      </w:pPr>
      <w:r w:rsidRPr="00D40D22">
        <w:rPr>
          <w:rFonts w:ascii="Times New Roman" w:eastAsia="Times New Roman" w:hAnsi="Times New Roman" w:cs="Times New Roman"/>
        </w:rPr>
        <w:t>PhD in Health Education &amp; Health Promotion, School of Public Health, Shahid</w:t>
      </w:r>
      <w:r>
        <w:rPr>
          <w:rFonts w:ascii="Times New Roman" w:eastAsia="Times New Roman" w:hAnsi="Times New Roman" w:cs="Times New Roman"/>
        </w:rPr>
        <w:t xml:space="preserve"> </w:t>
      </w:r>
      <w:r w:rsidRPr="00D40D22">
        <w:rPr>
          <w:rFonts w:ascii="Times New Roman" w:eastAsia="Times New Roman" w:hAnsi="Times New Roman" w:cs="Times New Roman"/>
        </w:rPr>
        <w:t>Sadoughi University of Medical Sciences, Yazd, Iran.</w:t>
      </w:r>
    </w:p>
    <w:p w:rsidR="001A445E" w:rsidRPr="00091028" w:rsidRDefault="001A445E" w:rsidP="001A445E">
      <w:pPr>
        <w:pStyle w:val="ListParagraph"/>
        <w:numPr>
          <w:ilvl w:val="0"/>
          <w:numId w:val="1"/>
        </w:numPr>
        <w:bidi w:val="0"/>
        <w:jc w:val="both"/>
        <w:rPr>
          <w:rFonts w:ascii="Times New Roman" w:eastAsia="Times New Roman" w:hAnsi="Times New Roman" w:cs="Times New Roman"/>
        </w:rPr>
      </w:pPr>
      <w:r w:rsidRPr="00D40D22">
        <w:rPr>
          <w:rFonts w:ascii="Times New Roman" w:eastAsia="Times New Roman" w:hAnsi="Times New Roman" w:cs="Times New Roman"/>
        </w:rPr>
        <w:t>Professor, Behavioral &amp; Environmental Health, School of Public Health, Jackson State University</w:t>
      </w:r>
    </w:p>
    <w:p w:rsidR="001A445E" w:rsidRPr="00D40D22" w:rsidRDefault="001A445E" w:rsidP="001A445E">
      <w:pPr>
        <w:pStyle w:val="ListParagraph"/>
        <w:numPr>
          <w:ilvl w:val="0"/>
          <w:numId w:val="1"/>
        </w:numPr>
        <w:bidi w:val="0"/>
        <w:jc w:val="both"/>
        <w:rPr>
          <w:rFonts w:ascii="Times New Roman" w:eastAsia="Times New Roman" w:hAnsi="Times New Roman" w:cs="Times New Roman"/>
        </w:rPr>
      </w:pPr>
      <w:r w:rsidRPr="00D40D22">
        <w:rPr>
          <w:rFonts w:ascii="Times New Roman" w:eastAsia="Times New Roman" w:hAnsi="Times New Roman" w:cs="Times New Roman"/>
        </w:rPr>
        <w:t xml:space="preserve">PhD in Reproductive Health, Department of Midwifery, Faculty of  Medicine, </w:t>
      </w:r>
      <w:proofErr w:type="spellStart"/>
      <w:r w:rsidRPr="00D40D22">
        <w:rPr>
          <w:rFonts w:ascii="Times New Roman" w:eastAsia="Times New Roman" w:hAnsi="Times New Roman" w:cs="Times New Roman"/>
        </w:rPr>
        <w:t>Gonabad</w:t>
      </w:r>
      <w:proofErr w:type="spellEnd"/>
      <w:r w:rsidRPr="00D40D22">
        <w:rPr>
          <w:rFonts w:ascii="Times New Roman" w:eastAsia="Times New Roman" w:hAnsi="Times New Roman" w:cs="Times New Roman"/>
        </w:rPr>
        <w:t xml:space="preserve"> University of Medical Sciences, </w:t>
      </w:r>
      <w:proofErr w:type="spellStart"/>
      <w:r w:rsidRPr="00D40D22">
        <w:rPr>
          <w:rFonts w:ascii="Times New Roman" w:eastAsia="Times New Roman" w:hAnsi="Times New Roman" w:cs="Times New Roman"/>
        </w:rPr>
        <w:t>Gonabad</w:t>
      </w:r>
      <w:proofErr w:type="spellEnd"/>
      <w:r w:rsidRPr="00D40D22">
        <w:rPr>
          <w:rFonts w:ascii="Times New Roman" w:eastAsia="Times New Roman" w:hAnsi="Times New Roman" w:cs="Times New Roman"/>
        </w:rPr>
        <w:t>, Iran.</w:t>
      </w:r>
    </w:p>
    <w:p w:rsidR="001A445E" w:rsidRDefault="001A445E" w:rsidP="001A445E">
      <w:pPr>
        <w:pStyle w:val="ListParagraph"/>
        <w:numPr>
          <w:ilvl w:val="0"/>
          <w:numId w:val="1"/>
        </w:numPr>
        <w:bidi w:val="0"/>
        <w:jc w:val="both"/>
        <w:rPr>
          <w:rFonts w:ascii="Times New Roman" w:eastAsia="Times New Roman" w:hAnsi="Times New Roman" w:cs="Times New Roman"/>
        </w:rPr>
      </w:pPr>
      <w:r w:rsidRPr="00D40D22">
        <w:rPr>
          <w:rFonts w:ascii="Times New Roman" w:eastAsia="Times New Roman" w:hAnsi="Times New Roman" w:cs="Times New Roman"/>
        </w:rPr>
        <w:t xml:space="preserve">PhD in Bio-Statistics, Department of Bio-Statistics and Epidemiology, </w:t>
      </w:r>
      <w:proofErr w:type="spellStart"/>
      <w:r w:rsidRPr="00D40D22">
        <w:rPr>
          <w:rFonts w:ascii="Times New Roman" w:eastAsia="Times New Roman" w:hAnsi="Times New Roman" w:cs="Times New Roman"/>
        </w:rPr>
        <w:t>ShahidSadoughi</w:t>
      </w:r>
      <w:proofErr w:type="spellEnd"/>
      <w:r w:rsidRPr="00D40D22">
        <w:rPr>
          <w:rFonts w:ascii="Times New Roman" w:eastAsia="Times New Roman" w:hAnsi="Times New Roman" w:cs="Times New Roman"/>
        </w:rPr>
        <w:t xml:space="preserve"> University of Medical Sciences, Yazd, Iran.</w:t>
      </w:r>
    </w:p>
    <w:p w:rsidR="00CD4C3F" w:rsidRPr="00CD4C3F" w:rsidRDefault="00CD4C3F" w:rsidP="00CD4C3F">
      <w:pPr>
        <w:bidi w:val="0"/>
        <w:rPr>
          <w:rFonts w:ascii="Times New Roman" w:eastAsia="Times New Roman" w:hAnsi="Times New Roman" w:cs="Times New Roman"/>
          <w:sz w:val="24"/>
          <w:szCs w:val="24"/>
        </w:rPr>
      </w:pPr>
    </w:p>
    <w:p w:rsidR="00CD4C3F" w:rsidRPr="00CD4C3F" w:rsidRDefault="00CD4C3F" w:rsidP="00CD4C3F">
      <w:pPr>
        <w:autoSpaceDE w:val="0"/>
        <w:autoSpaceDN w:val="0"/>
        <w:bidi w:val="0"/>
        <w:adjustRightInd w:val="0"/>
        <w:spacing w:after="0" w:line="240" w:lineRule="auto"/>
        <w:jc w:val="both"/>
        <w:rPr>
          <w:rFonts w:asciiTheme="majorBidi" w:eastAsiaTheme="minorHAnsi" w:hAnsiTheme="majorBidi" w:cstheme="majorBidi"/>
          <w:b/>
          <w:bCs/>
          <w:sz w:val="24"/>
          <w:szCs w:val="24"/>
        </w:rPr>
      </w:pPr>
      <w:r w:rsidRPr="00CD4C3F">
        <w:rPr>
          <w:rFonts w:asciiTheme="majorBidi" w:eastAsiaTheme="minorHAnsi" w:hAnsiTheme="majorBidi" w:cstheme="majorBidi"/>
          <w:b/>
          <w:bCs/>
          <w:sz w:val="24"/>
          <w:szCs w:val="24"/>
        </w:rPr>
        <w:t>Abstract</w:t>
      </w:r>
    </w:p>
    <w:p w:rsidR="00CD4C3F" w:rsidRPr="00CD4C3F" w:rsidRDefault="00CD4C3F" w:rsidP="00CD4C3F">
      <w:pPr>
        <w:autoSpaceDE w:val="0"/>
        <w:autoSpaceDN w:val="0"/>
        <w:bidi w:val="0"/>
        <w:adjustRightInd w:val="0"/>
        <w:spacing w:after="0" w:line="240" w:lineRule="auto"/>
        <w:jc w:val="both"/>
        <w:rPr>
          <w:rFonts w:asciiTheme="majorBidi" w:eastAsiaTheme="minorHAnsi" w:hAnsiTheme="majorBidi" w:cstheme="majorBidi"/>
          <w:b/>
          <w:bCs/>
          <w:sz w:val="24"/>
          <w:szCs w:val="24"/>
        </w:rPr>
      </w:pPr>
    </w:p>
    <w:p w:rsidR="00CD4C3F" w:rsidRPr="00CD4C3F" w:rsidRDefault="00CD4C3F" w:rsidP="00CD4C3F">
      <w:pPr>
        <w:autoSpaceDE w:val="0"/>
        <w:autoSpaceDN w:val="0"/>
        <w:bidi w:val="0"/>
        <w:adjustRightInd w:val="0"/>
        <w:spacing w:after="0"/>
        <w:jc w:val="both"/>
        <w:rPr>
          <w:rFonts w:asciiTheme="majorBidi" w:eastAsiaTheme="minorHAnsi" w:hAnsiTheme="majorBidi" w:cstheme="majorBidi"/>
          <w:sz w:val="24"/>
          <w:szCs w:val="24"/>
        </w:rPr>
      </w:pPr>
      <w:r w:rsidRPr="00CD4C3F">
        <w:rPr>
          <w:rFonts w:asciiTheme="majorBidi" w:eastAsiaTheme="minorHAnsi" w:hAnsiTheme="majorBidi" w:cstheme="majorBidi"/>
          <w:b/>
          <w:bCs/>
          <w:sz w:val="24"/>
          <w:szCs w:val="24"/>
        </w:rPr>
        <w:t>Background:</w:t>
      </w:r>
      <w:r w:rsidRPr="00CD4C3F">
        <w:rPr>
          <w:rFonts w:asciiTheme="majorBidi" w:eastAsiaTheme="minorHAnsi" w:hAnsiTheme="majorBidi" w:cstheme="majorBidi"/>
          <w:sz w:val="24"/>
          <w:szCs w:val="24"/>
        </w:rPr>
        <w:t xml:space="preserve"> Educational materials are frequently used by health providers to inform postmenopausal women about menopause acceptance behavior. However, little attention has been paid to the readability and suitability of these educational materials.</w:t>
      </w:r>
    </w:p>
    <w:p w:rsidR="00CD4C3F" w:rsidRPr="00CD4C3F" w:rsidRDefault="00CD4C3F" w:rsidP="00CD4C3F">
      <w:pPr>
        <w:autoSpaceDE w:val="0"/>
        <w:autoSpaceDN w:val="0"/>
        <w:bidi w:val="0"/>
        <w:adjustRightInd w:val="0"/>
        <w:spacing w:after="0"/>
        <w:jc w:val="both"/>
        <w:rPr>
          <w:rFonts w:asciiTheme="majorBidi" w:eastAsiaTheme="minorHAnsi" w:hAnsiTheme="majorBidi" w:cstheme="majorBidi"/>
          <w:sz w:val="24"/>
          <w:szCs w:val="24"/>
        </w:rPr>
      </w:pPr>
      <w:r w:rsidRPr="00CD4C3F">
        <w:rPr>
          <w:rFonts w:asciiTheme="majorBidi" w:eastAsiaTheme="minorHAnsi" w:hAnsiTheme="majorBidi" w:cstheme="majorBidi"/>
          <w:b/>
          <w:bCs/>
          <w:sz w:val="24"/>
          <w:szCs w:val="24"/>
        </w:rPr>
        <w:t>Objectives:</w:t>
      </w:r>
      <w:r w:rsidRPr="00CD4C3F">
        <w:rPr>
          <w:rFonts w:asciiTheme="majorBidi" w:eastAsiaTheme="minorHAnsi" w:hAnsiTheme="majorBidi" w:cstheme="majorBidi"/>
          <w:sz w:val="24"/>
          <w:szCs w:val="24"/>
        </w:rPr>
        <w:t xml:space="preserve"> The study aimed to determine the readability and suitability of educational materials in promoting the quality of life for postmenopausal women.</w:t>
      </w:r>
    </w:p>
    <w:p w:rsidR="00CD4C3F" w:rsidRPr="00CD4C3F" w:rsidRDefault="00CD4C3F" w:rsidP="00CD4C3F">
      <w:pPr>
        <w:autoSpaceDE w:val="0"/>
        <w:autoSpaceDN w:val="0"/>
        <w:bidi w:val="0"/>
        <w:adjustRightInd w:val="0"/>
        <w:spacing w:after="0"/>
        <w:jc w:val="both"/>
        <w:rPr>
          <w:rFonts w:asciiTheme="majorBidi" w:eastAsiaTheme="minorHAnsi" w:hAnsiTheme="majorBidi" w:cstheme="majorBidi"/>
          <w:sz w:val="24"/>
          <w:szCs w:val="24"/>
        </w:rPr>
      </w:pPr>
      <w:r w:rsidRPr="00CD4C3F">
        <w:rPr>
          <w:rFonts w:asciiTheme="majorBidi" w:eastAsiaTheme="minorHAnsi" w:hAnsiTheme="majorBidi" w:cstheme="majorBidi"/>
          <w:b/>
          <w:bCs/>
          <w:sz w:val="24"/>
          <w:szCs w:val="24"/>
        </w:rPr>
        <w:t>Methods:</w:t>
      </w:r>
      <w:r w:rsidRPr="00CD4C3F">
        <w:rPr>
          <w:rFonts w:asciiTheme="majorBidi" w:eastAsiaTheme="minorHAnsi" w:hAnsiTheme="majorBidi" w:cstheme="majorBidi"/>
          <w:sz w:val="24"/>
          <w:szCs w:val="24"/>
        </w:rPr>
        <w:t xml:space="preserve"> Multiple instructional materials and books were used for the design and preparation of educational materials and were then tailored to the target group. Readability was measured by using the readability assessment of materials (RAM); and suitability was determined by the suitability assessment of materials (SAM) that considers characteristics such as content, graphics, layout/topography, and cultural appropriateness. Twenty reviewers, including 10postmenopausal women, 5 postmenopausal women family members, and 5 health experts scored the educational materials.</w:t>
      </w:r>
    </w:p>
    <w:p w:rsidR="00CD4C3F" w:rsidRPr="00CD4C3F" w:rsidRDefault="00CD4C3F" w:rsidP="00CD4C3F">
      <w:pPr>
        <w:autoSpaceDE w:val="0"/>
        <w:autoSpaceDN w:val="0"/>
        <w:bidi w:val="0"/>
        <w:adjustRightInd w:val="0"/>
        <w:spacing w:after="0"/>
        <w:jc w:val="both"/>
        <w:rPr>
          <w:rFonts w:asciiTheme="majorBidi" w:eastAsiaTheme="minorHAnsi" w:hAnsiTheme="majorBidi" w:cstheme="majorBidi"/>
          <w:sz w:val="24"/>
          <w:szCs w:val="24"/>
        </w:rPr>
      </w:pPr>
      <w:r w:rsidRPr="00CD4C3F">
        <w:rPr>
          <w:rFonts w:asciiTheme="majorBidi" w:eastAsiaTheme="minorHAnsi" w:hAnsiTheme="majorBidi" w:cstheme="majorBidi"/>
          <w:b/>
          <w:bCs/>
          <w:sz w:val="24"/>
          <w:szCs w:val="24"/>
        </w:rPr>
        <w:t>Results:</w:t>
      </w:r>
      <w:r w:rsidRPr="00CD4C3F">
        <w:rPr>
          <w:rFonts w:asciiTheme="majorBidi" w:eastAsiaTheme="minorHAnsi" w:hAnsiTheme="majorBidi" w:cstheme="majorBidi"/>
          <w:sz w:val="24"/>
          <w:szCs w:val="24"/>
        </w:rPr>
        <w:t xml:space="preserve"> The mean readability score _ standard deviation (SD) of the educational materials  was10± 1.6 and 8± 1.4, for the pamphlet and </w:t>
      </w:r>
      <w:r w:rsidRPr="00CD4C3F">
        <w:rPr>
          <w:rFonts w:asciiTheme="majorBidi" w:hAnsiTheme="majorBidi" w:cstheme="majorBidi"/>
          <w:sz w:val="24"/>
          <w:szCs w:val="24"/>
        </w:rPr>
        <w:t>daily activities' booklets</w:t>
      </w:r>
      <w:r w:rsidRPr="00CD4C3F">
        <w:rPr>
          <w:rFonts w:asciiTheme="majorBidi" w:eastAsiaTheme="minorHAnsi" w:hAnsiTheme="majorBidi" w:cstheme="majorBidi"/>
          <w:sz w:val="24"/>
          <w:szCs w:val="24"/>
        </w:rPr>
        <w:t>, respectively, which were increased to 14± 0.6 and, 16±1.3, after tailoring the content. The average SAM scores before and after tailoring the content were 45% for the pamphlet, which was increased to 81%; 45% for the</w:t>
      </w:r>
      <w:r w:rsidRPr="00CD4C3F">
        <w:rPr>
          <w:rFonts w:asciiTheme="majorBidi" w:hAnsiTheme="majorBidi" w:cstheme="majorBidi"/>
          <w:sz w:val="24"/>
          <w:szCs w:val="24"/>
        </w:rPr>
        <w:t xml:space="preserve"> daily activities' booklets</w:t>
      </w:r>
      <w:r w:rsidRPr="00CD4C3F">
        <w:rPr>
          <w:rFonts w:asciiTheme="majorBidi" w:eastAsiaTheme="minorHAnsi" w:hAnsiTheme="majorBidi" w:cstheme="majorBidi"/>
          <w:sz w:val="24"/>
          <w:szCs w:val="24"/>
        </w:rPr>
        <w:t>, which was increased to 86%. The increase in all scores was significant (p&lt; 0.001). The final tailored educational material was rated “superior media” on the SAM ratings.</w:t>
      </w:r>
    </w:p>
    <w:p w:rsidR="00CD4C3F" w:rsidRDefault="00CD4C3F" w:rsidP="00CD4C3F">
      <w:pPr>
        <w:autoSpaceDE w:val="0"/>
        <w:autoSpaceDN w:val="0"/>
        <w:bidi w:val="0"/>
        <w:adjustRightInd w:val="0"/>
        <w:spacing w:after="0"/>
        <w:jc w:val="both"/>
      </w:pPr>
      <w:r w:rsidRPr="00CD4C3F">
        <w:rPr>
          <w:rFonts w:asciiTheme="majorBidi" w:eastAsiaTheme="minorHAnsi" w:hAnsiTheme="majorBidi" w:cstheme="majorBidi"/>
          <w:b/>
          <w:bCs/>
          <w:sz w:val="24"/>
          <w:szCs w:val="24"/>
        </w:rPr>
        <w:t>Conclusions:</w:t>
      </w:r>
      <w:r w:rsidRPr="00CD4C3F">
        <w:rPr>
          <w:rFonts w:asciiTheme="majorBidi" w:eastAsiaTheme="minorHAnsi" w:hAnsiTheme="majorBidi" w:cstheme="majorBidi"/>
          <w:sz w:val="24"/>
          <w:szCs w:val="24"/>
        </w:rPr>
        <w:t xml:space="preserve"> Given that most of the printed materials are suitable for people with higher education levels, health providers are strongly advised to prepare simple and understandable education materials that may increase the likelihood of consumer perception and recall.</w:t>
      </w:r>
    </w:p>
    <w:p w:rsidR="00CD4C3F" w:rsidRDefault="00CD4C3F" w:rsidP="00CD4C3F">
      <w:pPr>
        <w:autoSpaceDE w:val="0"/>
        <w:autoSpaceDN w:val="0"/>
        <w:bidi w:val="0"/>
        <w:adjustRightInd w:val="0"/>
        <w:spacing w:after="0"/>
        <w:jc w:val="both"/>
      </w:pPr>
    </w:p>
    <w:p w:rsidR="00CD4C3F" w:rsidRPr="00CD4C3F" w:rsidRDefault="00CD4C3F" w:rsidP="00CD4C3F">
      <w:pPr>
        <w:bidi w:val="0"/>
        <w:jc w:val="both"/>
        <w:rPr>
          <w:rFonts w:asciiTheme="majorBidi" w:eastAsiaTheme="minorHAnsi" w:hAnsiTheme="majorBidi" w:cstheme="majorBidi"/>
          <w:sz w:val="24"/>
          <w:szCs w:val="24"/>
        </w:rPr>
      </w:pPr>
      <w:r w:rsidRPr="00CD4C3F">
        <w:rPr>
          <w:rFonts w:asciiTheme="majorBidi" w:eastAsiaTheme="minorHAnsi" w:hAnsiTheme="majorBidi" w:cstheme="majorBidi"/>
          <w:b/>
          <w:bCs/>
          <w:sz w:val="24"/>
          <w:szCs w:val="24"/>
        </w:rPr>
        <w:lastRenderedPageBreak/>
        <w:t>Keywords:</w:t>
      </w:r>
      <w:r w:rsidRPr="00CD4C3F">
        <w:rPr>
          <w:rFonts w:asciiTheme="majorBidi" w:eastAsiaTheme="minorHAnsi" w:hAnsiTheme="majorBidi" w:cstheme="majorBidi"/>
          <w:sz w:val="24"/>
          <w:szCs w:val="24"/>
        </w:rPr>
        <w:t xml:space="preserve"> menopause, post-menopausal women, quality of life, Readability, Suitability, Printed Materials</w:t>
      </w:r>
    </w:p>
    <w:p w:rsidR="00CD4C3F" w:rsidRPr="00CD4C3F" w:rsidRDefault="00CD4C3F" w:rsidP="00CD4C3F">
      <w:pPr>
        <w:bidi w:val="0"/>
        <w:jc w:val="both"/>
        <w:rPr>
          <w:rFonts w:ascii="Times New Roman" w:eastAsia="Times New Roman" w:hAnsi="Times New Roman" w:cs="Times New Roman"/>
        </w:rPr>
      </w:pPr>
    </w:p>
    <w:p w:rsidR="009B3BD9" w:rsidRDefault="009B3BD9"/>
    <w:sectPr w:rsidR="009B3BD9" w:rsidSect="0038238B">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pitoliumNews-Regula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B1463"/>
    <w:multiLevelType w:val="hybridMultilevel"/>
    <w:tmpl w:val="32EE397A"/>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A445E"/>
    <w:rsid w:val="001A445E"/>
    <w:rsid w:val="0038238B"/>
    <w:rsid w:val="005E10D3"/>
    <w:rsid w:val="00605F5F"/>
    <w:rsid w:val="00792EF3"/>
    <w:rsid w:val="009B3BD9"/>
    <w:rsid w:val="00CD4C3F"/>
    <w:rsid w:val="00D56A64"/>
    <w:rsid w:val="00DF3EF0"/>
    <w:rsid w:val="00F7780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45E"/>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45E"/>
    <w:pPr>
      <w:ind w:left="720"/>
      <w:contextualSpacing/>
    </w:pPr>
  </w:style>
</w:styles>
</file>

<file path=word/webSettings.xml><?xml version="1.0" encoding="utf-8"?>
<w:webSettings xmlns:r="http://schemas.openxmlformats.org/officeDocument/2006/relationships" xmlns:w="http://schemas.openxmlformats.org/wordprocessingml/2006/main">
  <w:divs>
    <w:div w:id="74110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435</Words>
  <Characters>2481</Characters>
  <Application>Microsoft Office Word</Application>
  <DocSecurity>0</DocSecurity>
  <Lines>20</Lines>
  <Paragraphs>5</Paragraphs>
  <ScaleCrop>false</ScaleCrop>
  <Company>MRT www.Win2Farsi.com</Company>
  <LinksUpToDate>false</LinksUpToDate>
  <CharactersWithSpaces>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MRT</cp:lastModifiedBy>
  <cp:revision>3</cp:revision>
  <dcterms:created xsi:type="dcterms:W3CDTF">2019-11-28T13:24:00Z</dcterms:created>
  <dcterms:modified xsi:type="dcterms:W3CDTF">2019-11-28T13:34:00Z</dcterms:modified>
</cp:coreProperties>
</file>