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4EAC" w:rsidRDefault="00064EAC" w:rsidP="00064EAC">
      <w:pPr>
        <w:pStyle w:val="Default"/>
      </w:pPr>
    </w:p>
    <w:p w:rsidR="000C465B" w:rsidRDefault="000C465B" w:rsidP="000C465B">
      <w:pPr>
        <w:pStyle w:val="Default"/>
      </w:pPr>
    </w:p>
    <w:p w:rsidR="000C465B" w:rsidRDefault="000C465B" w:rsidP="000C465B">
      <w:pPr>
        <w:pStyle w:val="Default"/>
      </w:pPr>
      <w:r>
        <w:t xml:space="preserve"> </w:t>
      </w:r>
      <w:r>
        <w:rPr>
          <w:b/>
          <w:bCs/>
          <w:sz w:val="32"/>
          <w:szCs w:val="32"/>
        </w:rPr>
        <w:t>Can metformin limit weight gain in the obese with pregnancy?</w:t>
      </w:r>
    </w:p>
    <w:p w:rsidR="000C465B" w:rsidRDefault="000C465B" w:rsidP="00064EAC">
      <w:pPr>
        <w:pStyle w:val="Default"/>
      </w:pPr>
    </w:p>
    <w:p w:rsidR="000C465B" w:rsidRDefault="000C465B" w:rsidP="00064EAC">
      <w:pPr>
        <w:pStyle w:val="Default"/>
      </w:pPr>
    </w:p>
    <w:p w:rsidR="00064EAC" w:rsidRDefault="00064EAC" w:rsidP="00064EAC">
      <w:pPr>
        <w:pStyle w:val="Default"/>
        <w:rPr>
          <w:sz w:val="20"/>
          <w:szCs w:val="20"/>
        </w:rPr>
      </w:pPr>
      <w:r>
        <w:t xml:space="preserve"> </w:t>
      </w:r>
      <w:r>
        <w:rPr>
          <w:b/>
          <w:bCs/>
          <w:sz w:val="20"/>
          <w:szCs w:val="20"/>
        </w:rPr>
        <w:t xml:space="preserve">ABSTRACT </w:t>
      </w:r>
    </w:p>
    <w:p w:rsidR="00064EAC" w:rsidRDefault="00064EAC" w:rsidP="00064EAC">
      <w:pPr>
        <w:pStyle w:val="Default"/>
        <w:rPr>
          <w:sz w:val="20"/>
          <w:szCs w:val="20"/>
        </w:rPr>
      </w:pPr>
      <w:r>
        <w:rPr>
          <w:b/>
          <w:bCs/>
          <w:sz w:val="20"/>
          <w:szCs w:val="20"/>
        </w:rPr>
        <w:t xml:space="preserve">Background: </w:t>
      </w:r>
      <w:r>
        <w:rPr>
          <w:sz w:val="20"/>
          <w:szCs w:val="20"/>
        </w:rPr>
        <w:t xml:space="preserve">Maternal overweight and obesity is associated with many obstetric complications. Obesity is linked to insulin resistance. Improving insulin sensitivity may therefore account for weight reduction. Metformin was found to be effective in type 2 diabetes and polycystic ovarian syndrome through improving insulin sensitivity. Several studies proved its efficacy in the obese non- </w:t>
      </w:r>
      <w:proofErr w:type="spellStart"/>
      <w:r>
        <w:rPr>
          <w:sz w:val="20"/>
          <w:szCs w:val="20"/>
        </w:rPr>
        <w:t>pregnants</w:t>
      </w:r>
      <w:proofErr w:type="spellEnd"/>
      <w:r>
        <w:rPr>
          <w:sz w:val="20"/>
          <w:szCs w:val="20"/>
        </w:rPr>
        <w:t xml:space="preserve">, but its role during pregnancy is not yet well-established. In this study, we are testing the ability of metformin to limit weight gain with pregnancy and therefore reducing complications as gestational Diabetes and hypertension. </w:t>
      </w:r>
    </w:p>
    <w:p w:rsidR="00064EAC" w:rsidRDefault="00064EAC" w:rsidP="00064EAC">
      <w:pPr>
        <w:pStyle w:val="Default"/>
        <w:rPr>
          <w:sz w:val="20"/>
          <w:szCs w:val="20"/>
        </w:rPr>
      </w:pPr>
      <w:r>
        <w:rPr>
          <w:b/>
          <w:bCs/>
          <w:sz w:val="20"/>
          <w:szCs w:val="20"/>
        </w:rPr>
        <w:t xml:space="preserve">Methods: </w:t>
      </w:r>
      <w:r>
        <w:rPr>
          <w:sz w:val="20"/>
          <w:szCs w:val="20"/>
        </w:rPr>
        <w:t>A prospective study was conducted in Alexandria, Egypt. The study was registered in the South African Cochrane Centre under an identification number PACTR201505001142202. Two Hundreds participants with a BMI of ≥35 Kg/m</w:t>
      </w:r>
      <w:r>
        <w:rPr>
          <w:sz w:val="13"/>
          <w:szCs w:val="13"/>
        </w:rPr>
        <w:t>2</w:t>
      </w:r>
      <w:r>
        <w:rPr>
          <w:sz w:val="20"/>
          <w:szCs w:val="20"/>
        </w:rPr>
        <w:t>, pregnant in the early second trimester, were equally divided into two groups; in which group 1 will receive metformin 500 mg twice a day and group 2 will receive placebo. Prior to inclusion, 75 g oral glucose tolerance test, fasting insulin, fasting blood glucose, 1 h and 2 h glucose blood and HbA1C were measured .Both groups were followed up monthly for weight and for pregnancy complications namely gestational diabetes and pre-</w:t>
      </w:r>
      <w:proofErr w:type="spellStart"/>
      <w:r>
        <w:rPr>
          <w:sz w:val="20"/>
          <w:szCs w:val="20"/>
        </w:rPr>
        <w:t>eclampsia</w:t>
      </w:r>
      <w:proofErr w:type="spellEnd"/>
      <w:r>
        <w:rPr>
          <w:sz w:val="20"/>
          <w:szCs w:val="20"/>
        </w:rPr>
        <w:t xml:space="preserve"> till 36 weeks of pregnancy. </w:t>
      </w:r>
    </w:p>
    <w:p w:rsidR="00064EAC" w:rsidRDefault="00064EAC" w:rsidP="00064EAC">
      <w:pPr>
        <w:pStyle w:val="Default"/>
        <w:rPr>
          <w:sz w:val="20"/>
          <w:szCs w:val="20"/>
        </w:rPr>
      </w:pPr>
      <w:r>
        <w:rPr>
          <w:b/>
          <w:bCs/>
          <w:sz w:val="20"/>
          <w:szCs w:val="20"/>
        </w:rPr>
        <w:t xml:space="preserve">Results: </w:t>
      </w:r>
      <w:r>
        <w:rPr>
          <w:sz w:val="20"/>
          <w:szCs w:val="20"/>
        </w:rPr>
        <w:t xml:space="preserve">There was a significant difference in the weight gain and the one hour blood sugar measurement between the two groups, but not in the occurrence of pregnancy complications namely gestational diabetes and hypertension. </w:t>
      </w:r>
    </w:p>
    <w:p w:rsidR="00894A78" w:rsidRDefault="00064EAC" w:rsidP="00064EAC">
      <w:pPr>
        <w:jc w:val="right"/>
        <w:rPr>
          <w:sz w:val="20"/>
          <w:szCs w:val="20"/>
        </w:rPr>
      </w:pPr>
      <w:r>
        <w:rPr>
          <w:b/>
          <w:bCs/>
          <w:sz w:val="20"/>
          <w:szCs w:val="20"/>
        </w:rPr>
        <w:t xml:space="preserve">Conclusions: </w:t>
      </w:r>
      <w:r>
        <w:rPr>
          <w:sz w:val="20"/>
          <w:szCs w:val="20"/>
        </w:rPr>
        <w:t>Metformin succeeded to limit weight gain the obese with pregnancy</w:t>
      </w:r>
    </w:p>
    <w:p w:rsidR="000C465B" w:rsidRDefault="000C465B" w:rsidP="00064EAC">
      <w:pPr>
        <w:jc w:val="right"/>
        <w:rPr>
          <w:sz w:val="20"/>
          <w:szCs w:val="20"/>
        </w:rPr>
      </w:pPr>
    </w:p>
    <w:p w:rsidR="000C465B" w:rsidRDefault="000C465B" w:rsidP="000C465B">
      <w:pPr>
        <w:pStyle w:val="Default"/>
        <w:rPr>
          <w:color w:val="auto"/>
        </w:rPr>
        <w:sectPr w:rsidR="000C465B">
          <w:pgSz w:w="11906" w:h="17338"/>
          <w:pgMar w:top="1012" w:right="351" w:bottom="639" w:left="755" w:header="720" w:footer="720" w:gutter="0"/>
          <w:cols w:space="720"/>
          <w:noEndnote/>
        </w:sectPr>
      </w:pPr>
      <w:bookmarkStart w:id="0" w:name="_GoBack"/>
      <w:bookmarkEnd w:id="0"/>
    </w:p>
    <w:p w:rsidR="000C465B" w:rsidRDefault="000C465B" w:rsidP="000C465B">
      <w:pPr>
        <w:pStyle w:val="Default"/>
        <w:rPr>
          <w:color w:val="auto"/>
          <w:sz w:val="20"/>
          <w:szCs w:val="20"/>
        </w:rPr>
      </w:pPr>
      <w:r>
        <w:rPr>
          <w:b/>
          <w:bCs/>
          <w:color w:val="auto"/>
          <w:sz w:val="20"/>
          <w:szCs w:val="20"/>
        </w:rPr>
        <w:lastRenderedPageBreak/>
        <w:t xml:space="preserve">INTRODUCTION </w:t>
      </w:r>
    </w:p>
    <w:p w:rsidR="000C465B" w:rsidRDefault="000C465B" w:rsidP="000C465B">
      <w:pPr>
        <w:pStyle w:val="Default"/>
        <w:rPr>
          <w:color w:val="auto"/>
          <w:sz w:val="13"/>
          <w:szCs w:val="13"/>
        </w:rPr>
      </w:pPr>
      <w:r>
        <w:rPr>
          <w:color w:val="auto"/>
          <w:sz w:val="20"/>
          <w:szCs w:val="20"/>
        </w:rPr>
        <w:t>Maternal overweight and obesity are the most common high-risk obstetric conditions.</w:t>
      </w:r>
      <w:r>
        <w:rPr>
          <w:color w:val="auto"/>
          <w:sz w:val="13"/>
          <w:szCs w:val="13"/>
        </w:rPr>
        <w:t xml:space="preserve">1 </w:t>
      </w:r>
      <w:proofErr w:type="gramStart"/>
      <w:r>
        <w:rPr>
          <w:color w:val="auto"/>
          <w:sz w:val="20"/>
          <w:szCs w:val="20"/>
        </w:rPr>
        <w:t>During</w:t>
      </w:r>
      <w:proofErr w:type="gramEnd"/>
      <w:r>
        <w:rPr>
          <w:color w:val="auto"/>
          <w:sz w:val="20"/>
          <w:szCs w:val="20"/>
        </w:rPr>
        <w:t xml:space="preserve"> pregnancy, fat is preferentially deposited in the femoral and abdominal regions.</w:t>
      </w:r>
      <w:r>
        <w:rPr>
          <w:color w:val="auto"/>
          <w:sz w:val="13"/>
          <w:szCs w:val="13"/>
        </w:rPr>
        <w:t xml:space="preserve">2 </w:t>
      </w:r>
    </w:p>
    <w:p w:rsidR="000C465B" w:rsidRDefault="000C465B" w:rsidP="000C465B">
      <w:pPr>
        <w:pStyle w:val="Default"/>
        <w:rPr>
          <w:color w:val="auto"/>
          <w:sz w:val="13"/>
          <w:szCs w:val="13"/>
        </w:rPr>
      </w:pPr>
      <w:r>
        <w:rPr>
          <w:color w:val="auto"/>
          <w:sz w:val="20"/>
          <w:szCs w:val="20"/>
        </w:rPr>
        <w:t>Regional fat distribution may differ for women already overweight or obese before pregnancy. Obese women experience more variable changes, including lower or higher gestational weight gains and lower or similar gestational fat gains, but have greater increases in central adiposity and fat deposition during the postpartum period when compared with lower BMI groups.</w:t>
      </w:r>
      <w:r>
        <w:rPr>
          <w:color w:val="auto"/>
          <w:sz w:val="13"/>
          <w:szCs w:val="13"/>
        </w:rPr>
        <w:t xml:space="preserve">3 </w:t>
      </w:r>
    </w:p>
    <w:p w:rsidR="000C465B" w:rsidRDefault="000C465B" w:rsidP="000C465B">
      <w:pPr>
        <w:pStyle w:val="Default"/>
        <w:rPr>
          <w:color w:val="auto"/>
          <w:sz w:val="13"/>
          <w:szCs w:val="13"/>
        </w:rPr>
      </w:pPr>
      <w:r>
        <w:rPr>
          <w:color w:val="auto"/>
          <w:sz w:val="20"/>
          <w:szCs w:val="20"/>
        </w:rPr>
        <w:t xml:space="preserve">Scientists have postulated that the major determinant of body fat distribution is insulin resistance. Normally, fat is deposited in subcutaneous adipose stores. It is </w:t>
      </w:r>
      <w:r>
        <w:rPr>
          <w:color w:val="auto"/>
          <w:sz w:val="20"/>
          <w:szCs w:val="20"/>
        </w:rPr>
        <w:lastRenderedPageBreak/>
        <w:t>hypothesized that as fat stores increase, so does insulin resistance, limiting further deposition in the subcutaneous stores. This leads to increased uptake of triglycerides into visceral stores and other ectopic sites such as hepatic sites and others.</w:t>
      </w:r>
      <w:r>
        <w:rPr>
          <w:color w:val="auto"/>
          <w:sz w:val="13"/>
          <w:szCs w:val="13"/>
        </w:rPr>
        <w:t xml:space="preserve">4-9 </w:t>
      </w:r>
    </w:p>
    <w:p w:rsidR="000C465B" w:rsidRDefault="000C465B" w:rsidP="000C465B">
      <w:pPr>
        <w:pStyle w:val="Default"/>
        <w:rPr>
          <w:color w:val="auto"/>
          <w:sz w:val="18"/>
          <w:szCs w:val="18"/>
        </w:rPr>
      </w:pPr>
      <w:r>
        <w:rPr>
          <w:color w:val="auto"/>
          <w:sz w:val="20"/>
          <w:szCs w:val="20"/>
        </w:rPr>
        <w:t xml:space="preserve">Human pregnancy is characterized by a series of metabolic changes that promote adipose tissue accretion in early gestation, followed by insulin resistance and facilitated lipolysis in late pregnancy. In early pregnancy, insulin secretion increases, while insulin sensitivity is </w:t>
      </w:r>
      <w:r>
        <w:rPr>
          <w:i/>
          <w:iCs/>
          <w:color w:val="auto"/>
          <w:sz w:val="18"/>
          <w:szCs w:val="18"/>
        </w:rPr>
        <w:t xml:space="preserve">Ali </w:t>
      </w:r>
      <w:proofErr w:type="spellStart"/>
      <w:r>
        <w:rPr>
          <w:i/>
          <w:iCs/>
          <w:color w:val="auto"/>
          <w:sz w:val="18"/>
          <w:szCs w:val="18"/>
        </w:rPr>
        <w:t>Abd</w:t>
      </w:r>
      <w:proofErr w:type="spellEnd"/>
      <w:r>
        <w:rPr>
          <w:i/>
          <w:iCs/>
          <w:color w:val="auto"/>
          <w:sz w:val="18"/>
          <w:szCs w:val="18"/>
        </w:rPr>
        <w:t xml:space="preserve"> El Fattah E. </w:t>
      </w:r>
      <w:proofErr w:type="spellStart"/>
      <w:r>
        <w:rPr>
          <w:i/>
          <w:iCs/>
          <w:color w:val="auto"/>
          <w:sz w:val="18"/>
          <w:szCs w:val="18"/>
        </w:rPr>
        <w:t>Int</w:t>
      </w:r>
      <w:proofErr w:type="spellEnd"/>
      <w:r>
        <w:rPr>
          <w:i/>
          <w:iCs/>
          <w:color w:val="auto"/>
          <w:sz w:val="18"/>
          <w:szCs w:val="18"/>
        </w:rPr>
        <w:t xml:space="preserve"> J </w:t>
      </w:r>
      <w:proofErr w:type="spellStart"/>
      <w:r>
        <w:rPr>
          <w:i/>
          <w:iCs/>
          <w:color w:val="auto"/>
          <w:sz w:val="18"/>
          <w:szCs w:val="18"/>
        </w:rPr>
        <w:t>Reprod</w:t>
      </w:r>
      <w:proofErr w:type="spellEnd"/>
      <w:r>
        <w:rPr>
          <w:i/>
          <w:iCs/>
          <w:color w:val="auto"/>
          <w:sz w:val="18"/>
          <w:szCs w:val="18"/>
        </w:rPr>
        <w:t xml:space="preserve"> </w:t>
      </w:r>
      <w:proofErr w:type="spellStart"/>
      <w:r>
        <w:rPr>
          <w:i/>
          <w:iCs/>
          <w:color w:val="auto"/>
          <w:sz w:val="18"/>
          <w:szCs w:val="18"/>
        </w:rPr>
        <w:t>Contracept</w:t>
      </w:r>
      <w:proofErr w:type="spellEnd"/>
      <w:r>
        <w:rPr>
          <w:i/>
          <w:iCs/>
          <w:color w:val="auto"/>
          <w:sz w:val="18"/>
          <w:szCs w:val="18"/>
        </w:rPr>
        <w:t xml:space="preserve"> </w:t>
      </w:r>
      <w:proofErr w:type="spellStart"/>
      <w:r>
        <w:rPr>
          <w:i/>
          <w:iCs/>
          <w:color w:val="auto"/>
          <w:sz w:val="18"/>
          <w:szCs w:val="18"/>
        </w:rPr>
        <w:t>Obstet</w:t>
      </w:r>
      <w:proofErr w:type="spellEnd"/>
      <w:r>
        <w:rPr>
          <w:i/>
          <w:iCs/>
          <w:color w:val="auto"/>
          <w:sz w:val="18"/>
          <w:szCs w:val="18"/>
        </w:rPr>
        <w:t xml:space="preserve"> Gynecol. 2016 Mar;5(3):xxx-xxx </w:t>
      </w:r>
    </w:p>
    <w:p w:rsidR="000C465B" w:rsidRDefault="000C465B" w:rsidP="000C465B">
      <w:pPr>
        <w:pStyle w:val="Default"/>
        <w:rPr>
          <w:color w:val="auto"/>
          <w:sz w:val="18"/>
          <w:szCs w:val="18"/>
        </w:rPr>
      </w:pPr>
      <w:r>
        <w:rPr>
          <w:color w:val="auto"/>
          <w:sz w:val="18"/>
          <w:szCs w:val="18"/>
        </w:rPr>
        <w:t xml:space="preserve">International Journal of Reproduction, Contraception, Obstetrics and Gynecology Volume 5 · Issue 3 Page 2 </w:t>
      </w:r>
    </w:p>
    <w:p w:rsidR="000C465B" w:rsidRDefault="000C465B" w:rsidP="000C465B">
      <w:pPr>
        <w:pStyle w:val="Default"/>
        <w:rPr>
          <w:color w:val="auto"/>
        </w:rPr>
      </w:pPr>
    </w:p>
    <w:p w:rsidR="000C465B" w:rsidRDefault="000C465B" w:rsidP="000C465B">
      <w:pPr>
        <w:pStyle w:val="Default"/>
        <w:rPr>
          <w:color w:val="auto"/>
        </w:rPr>
        <w:sectPr w:rsidR="000C465B">
          <w:type w:val="continuous"/>
          <w:pgSz w:w="11906" w:h="17338"/>
          <w:pgMar w:top="1151" w:right="496" w:bottom="661" w:left="828" w:header="720" w:footer="720" w:gutter="0"/>
          <w:cols w:num="2" w:space="720" w:equalWidth="0">
            <w:col w:w="4717" w:space="331"/>
            <w:col w:w="4717"/>
          </w:cols>
          <w:noEndnote/>
        </w:sectPr>
      </w:pPr>
    </w:p>
    <w:p w:rsidR="000C465B" w:rsidRDefault="000C465B" w:rsidP="000C465B">
      <w:pPr>
        <w:pStyle w:val="Default"/>
        <w:pageBreakBefore/>
        <w:rPr>
          <w:color w:val="auto"/>
          <w:sz w:val="13"/>
          <w:szCs w:val="13"/>
        </w:rPr>
      </w:pPr>
      <w:proofErr w:type="gramStart"/>
      <w:r>
        <w:rPr>
          <w:color w:val="auto"/>
          <w:sz w:val="20"/>
          <w:szCs w:val="20"/>
        </w:rPr>
        <w:lastRenderedPageBreak/>
        <w:t>unchanged</w:t>
      </w:r>
      <w:proofErr w:type="gramEnd"/>
      <w:r>
        <w:rPr>
          <w:color w:val="auto"/>
          <w:sz w:val="20"/>
          <w:szCs w:val="20"/>
        </w:rPr>
        <w:t>, decreased, or may even increase. However, in late gestation, maternal adipose tissue depots decline, while postprandial free fatty acid (FFA) levels increase and insulin-mediated glucose disposal worsens by 40– 60% compared with pre pregnancy. The ability of insulin to suppress whole-body lipolysis is also reduced during late pregnancy</w:t>
      </w:r>
      <w:r>
        <w:rPr>
          <w:color w:val="auto"/>
          <w:sz w:val="13"/>
          <w:szCs w:val="13"/>
        </w:rPr>
        <w:t xml:space="preserve">10 </w:t>
      </w:r>
      <w:r>
        <w:rPr>
          <w:color w:val="auto"/>
          <w:sz w:val="20"/>
          <w:szCs w:val="20"/>
        </w:rPr>
        <w:t>and this is further reduced in GDM subjects</w:t>
      </w:r>
      <w:proofErr w:type="gramStart"/>
      <w:r>
        <w:rPr>
          <w:color w:val="auto"/>
          <w:sz w:val="20"/>
          <w:szCs w:val="20"/>
        </w:rPr>
        <w:t>,</w:t>
      </w:r>
      <w:r>
        <w:rPr>
          <w:color w:val="auto"/>
          <w:sz w:val="13"/>
          <w:szCs w:val="13"/>
        </w:rPr>
        <w:t>11</w:t>
      </w:r>
      <w:proofErr w:type="gramEnd"/>
      <w:r>
        <w:rPr>
          <w:color w:val="auto"/>
          <w:sz w:val="13"/>
          <w:szCs w:val="13"/>
        </w:rPr>
        <w:t xml:space="preserve"> </w:t>
      </w:r>
      <w:r>
        <w:rPr>
          <w:color w:val="auto"/>
          <w:sz w:val="20"/>
          <w:szCs w:val="20"/>
        </w:rPr>
        <w:t>contributing to greater postprandial increases in FFAs, increased hepatic glucose production and severe insulin resistance.</w:t>
      </w:r>
      <w:r>
        <w:rPr>
          <w:color w:val="auto"/>
          <w:sz w:val="13"/>
          <w:szCs w:val="13"/>
        </w:rPr>
        <w:t xml:space="preserve">12-16 </w:t>
      </w:r>
    </w:p>
    <w:p w:rsidR="000C465B" w:rsidRDefault="000C465B" w:rsidP="000C465B">
      <w:pPr>
        <w:pStyle w:val="Default"/>
        <w:rPr>
          <w:color w:val="auto"/>
          <w:sz w:val="13"/>
          <w:szCs w:val="13"/>
        </w:rPr>
      </w:pPr>
      <w:r>
        <w:rPr>
          <w:color w:val="auto"/>
          <w:sz w:val="20"/>
          <w:szCs w:val="20"/>
        </w:rPr>
        <w:t xml:space="preserve">Although various placental hormones have been suggested to reprogram maternal physiology to meet </w:t>
      </w:r>
      <w:proofErr w:type="spellStart"/>
      <w:r>
        <w:rPr>
          <w:color w:val="auto"/>
          <w:sz w:val="20"/>
          <w:szCs w:val="20"/>
        </w:rPr>
        <w:t>foetal</w:t>
      </w:r>
      <w:proofErr w:type="spellEnd"/>
      <w:r>
        <w:rPr>
          <w:color w:val="auto"/>
          <w:sz w:val="20"/>
          <w:szCs w:val="20"/>
        </w:rPr>
        <w:t xml:space="preserve"> needs, the cellular mechanisms for this complex transition remain obscure.</w:t>
      </w:r>
      <w:r>
        <w:rPr>
          <w:color w:val="auto"/>
          <w:sz w:val="13"/>
          <w:szCs w:val="13"/>
        </w:rPr>
        <w:t xml:space="preserve">16 </w:t>
      </w:r>
      <w:r>
        <w:rPr>
          <w:color w:val="auto"/>
          <w:sz w:val="20"/>
          <w:szCs w:val="20"/>
        </w:rPr>
        <w:t xml:space="preserve">However, it is important to note that, with the exception of </w:t>
      </w:r>
      <w:proofErr w:type="spellStart"/>
      <w:r>
        <w:rPr>
          <w:color w:val="auto"/>
          <w:sz w:val="20"/>
          <w:szCs w:val="20"/>
        </w:rPr>
        <w:t>tumour</w:t>
      </w:r>
      <w:proofErr w:type="spellEnd"/>
      <w:r>
        <w:rPr>
          <w:color w:val="auto"/>
          <w:sz w:val="20"/>
          <w:szCs w:val="20"/>
        </w:rPr>
        <w:t xml:space="preserve"> necrosis factor (TNF)-α, changes in placental hormones in human pregnancy do not directly correlate with changes in maternal insulin resistance Therefore, a synergy with other obesity or pregnancy-related factors may hold the key to understanding how insulin resistance develops during pregnancy.</w:t>
      </w:r>
      <w:r>
        <w:rPr>
          <w:color w:val="auto"/>
          <w:sz w:val="13"/>
          <w:szCs w:val="13"/>
        </w:rPr>
        <w:t xml:space="preserve">17 </w:t>
      </w:r>
    </w:p>
    <w:p w:rsidR="000C465B" w:rsidRDefault="000C465B" w:rsidP="000C465B">
      <w:pPr>
        <w:pStyle w:val="Default"/>
        <w:rPr>
          <w:color w:val="auto"/>
          <w:sz w:val="13"/>
          <w:szCs w:val="13"/>
        </w:rPr>
      </w:pPr>
      <w:r>
        <w:rPr>
          <w:color w:val="auto"/>
          <w:sz w:val="20"/>
          <w:szCs w:val="20"/>
        </w:rPr>
        <w:t xml:space="preserve">Recent prospective studies have implicated </w:t>
      </w:r>
      <w:proofErr w:type="spellStart"/>
      <w:r>
        <w:rPr>
          <w:color w:val="auto"/>
          <w:sz w:val="20"/>
          <w:szCs w:val="20"/>
        </w:rPr>
        <w:t>adiponectin</w:t>
      </w:r>
      <w:proofErr w:type="spellEnd"/>
      <w:r>
        <w:rPr>
          <w:color w:val="auto"/>
          <w:sz w:val="20"/>
          <w:szCs w:val="20"/>
        </w:rPr>
        <w:t xml:space="preserve"> from adipocytes and secreted factors, such as TNF-α, as active candidates in mediating insulin resistance of pregnancy. Collectively, these factors, known as “</w:t>
      </w:r>
      <w:proofErr w:type="spellStart"/>
      <w:r>
        <w:rPr>
          <w:color w:val="auto"/>
          <w:sz w:val="20"/>
          <w:szCs w:val="20"/>
        </w:rPr>
        <w:t>adipokines</w:t>
      </w:r>
      <w:proofErr w:type="spellEnd"/>
      <w:r>
        <w:rPr>
          <w:color w:val="auto"/>
          <w:sz w:val="20"/>
          <w:szCs w:val="20"/>
        </w:rPr>
        <w:t xml:space="preserve">,” include </w:t>
      </w:r>
      <w:proofErr w:type="spellStart"/>
      <w:r>
        <w:rPr>
          <w:color w:val="auto"/>
          <w:sz w:val="20"/>
          <w:szCs w:val="20"/>
        </w:rPr>
        <w:t>leptin</w:t>
      </w:r>
      <w:proofErr w:type="spellEnd"/>
      <w:r>
        <w:rPr>
          <w:color w:val="auto"/>
          <w:sz w:val="20"/>
          <w:szCs w:val="20"/>
        </w:rPr>
        <w:t xml:space="preserve">, </w:t>
      </w:r>
      <w:proofErr w:type="spellStart"/>
      <w:r>
        <w:rPr>
          <w:color w:val="auto"/>
          <w:sz w:val="20"/>
          <w:szCs w:val="20"/>
        </w:rPr>
        <w:t>adiponectin</w:t>
      </w:r>
      <w:proofErr w:type="spellEnd"/>
      <w:r>
        <w:rPr>
          <w:color w:val="auto"/>
          <w:sz w:val="20"/>
          <w:szCs w:val="20"/>
        </w:rPr>
        <w:t xml:space="preserve">, TNF-α, interleukin-6, </w:t>
      </w:r>
      <w:proofErr w:type="spellStart"/>
      <w:r>
        <w:rPr>
          <w:color w:val="auto"/>
          <w:sz w:val="20"/>
          <w:szCs w:val="20"/>
        </w:rPr>
        <w:t>resistin</w:t>
      </w:r>
      <w:proofErr w:type="spellEnd"/>
      <w:r>
        <w:rPr>
          <w:color w:val="auto"/>
          <w:sz w:val="20"/>
          <w:szCs w:val="20"/>
        </w:rPr>
        <w:t>, and others. Obese humans show a positive correlation between TNF-α levels and BMI and hyperinsulinemia.</w:t>
      </w:r>
      <w:r>
        <w:rPr>
          <w:color w:val="auto"/>
          <w:sz w:val="13"/>
          <w:szCs w:val="13"/>
        </w:rPr>
        <w:t xml:space="preserve">18-20 </w:t>
      </w:r>
    </w:p>
    <w:p w:rsidR="000C465B" w:rsidRDefault="000C465B" w:rsidP="000C465B">
      <w:pPr>
        <w:pStyle w:val="Default"/>
        <w:rPr>
          <w:color w:val="auto"/>
          <w:sz w:val="13"/>
          <w:szCs w:val="13"/>
        </w:rPr>
      </w:pPr>
      <w:proofErr w:type="spellStart"/>
      <w:r>
        <w:rPr>
          <w:color w:val="auto"/>
          <w:sz w:val="20"/>
          <w:szCs w:val="20"/>
        </w:rPr>
        <w:t>Adiponectin</w:t>
      </w:r>
      <w:proofErr w:type="spellEnd"/>
      <w:r>
        <w:rPr>
          <w:color w:val="auto"/>
          <w:sz w:val="20"/>
          <w:szCs w:val="20"/>
        </w:rPr>
        <w:t xml:space="preserve"> is a secreted globular protein synthesized exclusively in adipocytes. In humans, low plasma </w:t>
      </w:r>
      <w:proofErr w:type="spellStart"/>
      <w:r>
        <w:rPr>
          <w:color w:val="auto"/>
          <w:sz w:val="20"/>
          <w:szCs w:val="20"/>
        </w:rPr>
        <w:t>adiponectin</w:t>
      </w:r>
      <w:proofErr w:type="spellEnd"/>
      <w:r>
        <w:rPr>
          <w:color w:val="auto"/>
          <w:sz w:val="20"/>
          <w:szCs w:val="20"/>
        </w:rPr>
        <w:t xml:space="preserve"> concentrations correlate highly with insulin resistance in obesity, type 2 diabetes, and gestational Diabetes mellitus GDM.</w:t>
      </w:r>
      <w:r>
        <w:rPr>
          <w:color w:val="auto"/>
          <w:sz w:val="13"/>
          <w:szCs w:val="13"/>
        </w:rPr>
        <w:t xml:space="preserve">21-23 </w:t>
      </w:r>
      <w:r>
        <w:rPr>
          <w:color w:val="auto"/>
          <w:sz w:val="20"/>
          <w:szCs w:val="20"/>
        </w:rPr>
        <w:t xml:space="preserve">Recent findings also show that </w:t>
      </w:r>
      <w:proofErr w:type="spellStart"/>
      <w:r>
        <w:rPr>
          <w:color w:val="auto"/>
          <w:sz w:val="20"/>
          <w:szCs w:val="20"/>
        </w:rPr>
        <w:t>adiponectin</w:t>
      </w:r>
      <w:proofErr w:type="spellEnd"/>
      <w:r>
        <w:rPr>
          <w:color w:val="auto"/>
          <w:sz w:val="20"/>
          <w:szCs w:val="20"/>
        </w:rPr>
        <w:t xml:space="preserve"> secretion and </w:t>
      </w:r>
      <w:proofErr w:type="spellStart"/>
      <w:r>
        <w:rPr>
          <w:color w:val="auto"/>
          <w:sz w:val="20"/>
          <w:szCs w:val="20"/>
        </w:rPr>
        <w:t>adiponectin</w:t>
      </w:r>
      <w:proofErr w:type="spellEnd"/>
      <w:r>
        <w:rPr>
          <w:color w:val="auto"/>
          <w:sz w:val="20"/>
          <w:szCs w:val="20"/>
        </w:rPr>
        <w:t xml:space="preserve"> mRNA levels in white adipose tissue decline with advancing gestation, even in lean women suggesting that there are pregnancy-associated factors that reduce </w:t>
      </w:r>
      <w:proofErr w:type="spellStart"/>
      <w:r>
        <w:rPr>
          <w:color w:val="auto"/>
          <w:sz w:val="20"/>
          <w:szCs w:val="20"/>
        </w:rPr>
        <w:t>adiponectin</w:t>
      </w:r>
      <w:proofErr w:type="spellEnd"/>
      <w:r>
        <w:rPr>
          <w:color w:val="auto"/>
          <w:sz w:val="20"/>
          <w:szCs w:val="20"/>
        </w:rPr>
        <w:t xml:space="preserve"> levels.</w:t>
      </w:r>
      <w:r>
        <w:rPr>
          <w:color w:val="auto"/>
          <w:sz w:val="13"/>
          <w:szCs w:val="13"/>
        </w:rPr>
        <w:t xml:space="preserve">24 </w:t>
      </w:r>
    </w:p>
    <w:p w:rsidR="000C465B" w:rsidRDefault="000C465B" w:rsidP="000C465B">
      <w:pPr>
        <w:pStyle w:val="Default"/>
        <w:rPr>
          <w:color w:val="auto"/>
          <w:sz w:val="13"/>
          <w:szCs w:val="13"/>
        </w:rPr>
      </w:pPr>
      <w:r>
        <w:rPr>
          <w:color w:val="auto"/>
          <w:sz w:val="20"/>
          <w:szCs w:val="20"/>
        </w:rPr>
        <w:t xml:space="preserve">Circulating levels of </w:t>
      </w:r>
      <w:proofErr w:type="spellStart"/>
      <w:r>
        <w:rPr>
          <w:color w:val="auto"/>
          <w:sz w:val="20"/>
          <w:szCs w:val="20"/>
        </w:rPr>
        <w:t>adiponectin</w:t>
      </w:r>
      <w:proofErr w:type="spellEnd"/>
      <w:r>
        <w:rPr>
          <w:color w:val="auto"/>
          <w:sz w:val="20"/>
          <w:szCs w:val="20"/>
        </w:rPr>
        <w:t xml:space="preserve"> have been shown to correlate with whole-body insulin sensitivity, presumably working through </w:t>
      </w:r>
      <w:proofErr w:type="spellStart"/>
      <w:r>
        <w:rPr>
          <w:color w:val="auto"/>
          <w:sz w:val="20"/>
          <w:szCs w:val="20"/>
        </w:rPr>
        <w:t>adiponectin</w:t>
      </w:r>
      <w:proofErr w:type="spellEnd"/>
      <w:r>
        <w:rPr>
          <w:color w:val="auto"/>
          <w:sz w:val="20"/>
          <w:szCs w:val="20"/>
        </w:rPr>
        <w:t xml:space="preserve"> receptors in skeletal muscle and liver.</w:t>
      </w:r>
      <w:r>
        <w:rPr>
          <w:color w:val="auto"/>
          <w:sz w:val="13"/>
          <w:szCs w:val="13"/>
        </w:rPr>
        <w:t xml:space="preserve">25 </w:t>
      </w:r>
      <w:proofErr w:type="spellStart"/>
      <w:r>
        <w:rPr>
          <w:color w:val="auto"/>
          <w:sz w:val="20"/>
          <w:szCs w:val="20"/>
        </w:rPr>
        <w:t>Adiponectin</w:t>
      </w:r>
      <w:proofErr w:type="spellEnd"/>
      <w:r>
        <w:rPr>
          <w:color w:val="auto"/>
          <w:sz w:val="20"/>
          <w:szCs w:val="20"/>
        </w:rPr>
        <w:t xml:space="preserve"> stimulates glucose uptake in skeletal muscle and reduces hepatic glucose production through its effect on AMP-activated protein kinase. Thus, </w:t>
      </w:r>
      <w:proofErr w:type="spellStart"/>
      <w:r>
        <w:rPr>
          <w:color w:val="auto"/>
          <w:sz w:val="20"/>
          <w:szCs w:val="20"/>
        </w:rPr>
        <w:t>adiponectin</w:t>
      </w:r>
      <w:proofErr w:type="spellEnd"/>
      <w:r>
        <w:rPr>
          <w:color w:val="auto"/>
          <w:sz w:val="20"/>
          <w:szCs w:val="20"/>
        </w:rPr>
        <w:t xml:space="preserve"> can be viewed as an endogenous insulin-sensitizing hormone. Several studies have demonstrated that </w:t>
      </w:r>
      <w:proofErr w:type="spellStart"/>
      <w:r>
        <w:rPr>
          <w:color w:val="auto"/>
          <w:sz w:val="20"/>
          <w:szCs w:val="20"/>
        </w:rPr>
        <w:t>adiponectin</w:t>
      </w:r>
      <w:proofErr w:type="spellEnd"/>
      <w:r>
        <w:rPr>
          <w:color w:val="auto"/>
          <w:sz w:val="20"/>
          <w:szCs w:val="20"/>
        </w:rPr>
        <w:t xml:space="preserve"> levels are lower during late pregnancy.</w:t>
      </w:r>
      <w:r>
        <w:rPr>
          <w:color w:val="auto"/>
          <w:sz w:val="13"/>
          <w:szCs w:val="13"/>
        </w:rPr>
        <w:t xml:space="preserve">26- 31 </w:t>
      </w:r>
    </w:p>
    <w:p w:rsidR="000C465B" w:rsidRDefault="000C465B" w:rsidP="000C465B">
      <w:pPr>
        <w:pStyle w:val="Default"/>
        <w:rPr>
          <w:color w:val="auto"/>
          <w:sz w:val="20"/>
          <w:szCs w:val="20"/>
        </w:rPr>
      </w:pPr>
      <w:r>
        <w:rPr>
          <w:color w:val="auto"/>
          <w:sz w:val="20"/>
          <w:szCs w:val="20"/>
        </w:rPr>
        <w:t xml:space="preserve">According to these phenomena, insulin resistance of normal pregnancy is multifactorial, involving reduced ability of insulin to phosphorylate the insulin receptor, subclinical inflammation, placental hormones, reduced </w:t>
      </w:r>
      <w:proofErr w:type="spellStart"/>
      <w:r>
        <w:rPr>
          <w:color w:val="auto"/>
          <w:sz w:val="20"/>
          <w:szCs w:val="20"/>
        </w:rPr>
        <w:t>adiponectin</w:t>
      </w:r>
      <w:proofErr w:type="spellEnd"/>
      <w:r>
        <w:rPr>
          <w:color w:val="auto"/>
          <w:sz w:val="20"/>
          <w:szCs w:val="20"/>
        </w:rPr>
        <w:t xml:space="preserve"> secretion, and excess lipolysis. </w:t>
      </w:r>
    </w:p>
    <w:p w:rsidR="000C465B" w:rsidRDefault="000C465B" w:rsidP="000C465B">
      <w:pPr>
        <w:pStyle w:val="Default"/>
        <w:rPr>
          <w:color w:val="auto"/>
          <w:sz w:val="20"/>
          <w:szCs w:val="20"/>
        </w:rPr>
      </w:pPr>
      <w:r>
        <w:rPr>
          <w:color w:val="auto"/>
          <w:sz w:val="20"/>
          <w:szCs w:val="20"/>
        </w:rPr>
        <w:t xml:space="preserve">Metformin is a </w:t>
      </w:r>
      <w:proofErr w:type="spellStart"/>
      <w:r>
        <w:rPr>
          <w:color w:val="auto"/>
          <w:sz w:val="20"/>
          <w:szCs w:val="20"/>
        </w:rPr>
        <w:t>bigaunide</w:t>
      </w:r>
      <w:proofErr w:type="spellEnd"/>
      <w:r>
        <w:rPr>
          <w:color w:val="auto"/>
          <w:sz w:val="20"/>
          <w:szCs w:val="20"/>
        </w:rPr>
        <w:t xml:space="preserve"> that decreases hepatic glucose output by inhibiting gluconeogenesis and enhancing peripheral glucose uptake. It also decreases intestinal glucose absorption and increases insulin sensitivity. </w:t>
      </w:r>
    </w:p>
    <w:p w:rsidR="000C465B" w:rsidRDefault="000C465B" w:rsidP="000C465B">
      <w:pPr>
        <w:pStyle w:val="Default"/>
        <w:rPr>
          <w:color w:val="auto"/>
          <w:sz w:val="13"/>
          <w:szCs w:val="13"/>
        </w:rPr>
      </w:pPr>
      <w:r>
        <w:rPr>
          <w:color w:val="auto"/>
          <w:sz w:val="20"/>
          <w:szCs w:val="20"/>
        </w:rPr>
        <w:t>It is a well- established anti-diabetic drug, which has been used from the late 1950s on and still first line therapy in type 2 diabetes.</w:t>
      </w:r>
      <w:r>
        <w:rPr>
          <w:color w:val="auto"/>
          <w:sz w:val="13"/>
          <w:szCs w:val="13"/>
        </w:rPr>
        <w:t>32</w:t>
      </w:r>
      <w:proofErr w:type="gramStart"/>
      <w:r>
        <w:rPr>
          <w:color w:val="auto"/>
          <w:sz w:val="13"/>
          <w:szCs w:val="13"/>
        </w:rPr>
        <w:t>,33</w:t>
      </w:r>
      <w:proofErr w:type="gramEnd"/>
      <w:r>
        <w:rPr>
          <w:color w:val="auto"/>
          <w:sz w:val="13"/>
          <w:szCs w:val="13"/>
        </w:rPr>
        <w:t xml:space="preserve"> </w:t>
      </w:r>
    </w:p>
    <w:p w:rsidR="000C465B" w:rsidRDefault="000C465B" w:rsidP="000C465B">
      <w:pPr>
        <w:pStyle w:val="Default"/>
        <w:rPr>
          <w:color w:val="auto"/>
          <w:sz w:val="13"/>
          <w:szCs w:val="13"/>
        </w:rPr>
      </w:pPr>
      <w:r>
        <w:rPr>
          <w:color w:val="auto"/>
          <w:sz w:val="20"/>
          <w:szCs w:val="20"/>
        </w:rPr>
        <w:t>Metformin reduces insulin resistance which is the underlying cause of both type 2 diabetes and PCOS.</w:t>
      </w:r>
      <w:r>
        <w:rPr>
          <w:color w:val="auto"/>
          <w:sz w:val="13"/>
          <w:szCs w:val="13"/>
        </w:rPr>
        <w:t>34</w:t>
      </w:r>
      <w:proofErr w:type="gramStart"/>
      <w:r>
        <w:rPr>
          <w:color w:val="auto"/>
          <w:sz w:val="13"/>
          <w:szCs w:val="13"/>
        </w:rPr>
        <w:t>,35,43,44</w:t>
      </w:r>
      <w:proofErr w:type="gramEnd"/>
      <w:r>
        <w:rPr>
          <w:color w:val="auto"/>
          <w:sz w:val="13"/>
          <w:szCs w:val="13"/>
        </w:rPr>
        <w:t xml:space="preserve"> </w:t>
      </w:r>
      <w:r>
        <w:rPr>
          <w:color w:val="auto"/>
          <w:sz w:val="20"/>
          <w:szCs w:val="20"/>
        </w:rPr>
        <w:t>Metformin has been observed to cause weight loss in type 2 diabetes patients.</w:t>
      </w:r>
      <w:r>
        <w:rPr>
          <w:color w:val="auto"/>
          <w:sz w:val="13"/>
          <w:szCs w:val="13"/>
        </w:rPr>
        <w:t xml:space="preserve">36,37 </w:t>
      </w:r>
    </w:p>
    <w:p w:rsidR="000C465B" w:rsidRDefault="000C465B" w:rsidP="000C465B">
      <w:pPr>
        <w:pStyle w:val="Default"/>
        <w:rPr>
          <w:color w:val="auto"/>
          <w:sz w:val="13"/>
          <w:szCs w:val="13"/>
        </w:rPr>
      </w:pPr>
      <w:r>
        <w:rPr>
          <w:color w:val="auto"/>
          <w:sz w:val="20"/>
          <w:szCs w:val="20"/>
        </w:rPr>
        <w:t>Obesity in non-diabetic patients is also linked to insulin resistance.</w:t>
      </w:r>
      <w:r>
        <w:rPr>
          <w:color w:val="auto"/>
          <w:sz w:val="13"/>
          <w:szCs w:val="13"/>
        </w:rPr>
        <w:t xml:space="preserve">38-40 </w:t>
      </w:r>
      <w:r>
        <w:rPr>
          <w:color w:val="auto"/>
          <w:sz w:val="20"/>
          <w:szCs w:val="20"/>
        </w:rPr>
        <w:t xml:space="preserve">Improving insulin sensitivity may account for weight reduction under metformin therapy, although the exact underlying </w:t>
      </w:r>
      <w:proofErr w:type="spellStart"/>
      <w:r>
        <w:rPr>
          <w:color w:val="auto"/>
          <w:sz w:val="20"/>
          <w:szCs w:val="20"/>
        </w:rPr>
        <w:t>patho</w:t>
      </w:r>
      <w:proofErr w:type="spellEnd"/>
      <w:r>
        <w:rPr>
          <w:color w:val="auto"/>
          <w:sz w:val="20"/>
          <w:szCs w:val="20"/>
        </w:rPr>
        <w:t xml:space="preserve"> mechanisms are unclear.</w:t>
      </w:r>
      <w:r>
        <w:rPr>
          <w:color w:val="auto"/>
          <w:sz w:val="13"/>
          <w:szCs w:val="13"/>
        </w:rPr>
        <w:t>37</w:t>
      </w:r>
      <w:proofErr w:type="gramStart"/>
      <w:r>
        <w:rPr>
          <w:color w:val="auto"/>
          <w:sz w:val="13"/>
          <w:szCs w:val="13"/>
        </w:rPr>
        <w:t>,41,42</w:t>
      </w:r>
      <w:proofErr w:type="gramEnd"/>
      <w:r>
        <w:rPr>
          <w:color w:val="auto"/>
          <w:sz w:val="13"/>
          <w:szCs w:val="13"/>
        </w:rPr>
        <w:t xml:space="preserve"> </w:t>
      </w:r>
    </w:p>
    <w:p w:rsidR="000C465B" w:rsidRDefault="000C465B" w:rsidP="000C465B">
      <w:pPr>
        <w:pStyle w:val="Default"/>
        <w:rPr>
          <w:color w:val="auto"/>
          <w:sz w:val="13"/>
          <w:szCs w:val="13"/>
        </w:rPr>
      </w:pPr>
      <w:r>
        <w:rPr>
          <w:color w:val="auto"/>
          <w:sz w:val="20"/>
          <w:szCs w:val="20"/>
        </w:rPr>
        <w:lastRenderedPageBreak/>
        <w:t xml:space="preserve">Efficacy of metformin to reduce weight in a standardized setting has been tested in few randomized trials, data on its effectiveness in the obese </w:t>
      </w:r>
      <w:proofErr w:type="spellStart"/>
      <w:r>
        <w:rPr>
          <w:color w:val="auto"/>
          <w:sz w:val="20"/>
          <w:szCs w:val="20"/>
        </w:rPr>
        <w:t>nondiabetic</w:t>
      </w:r>
      <w:proofErr w:type="spellEnd"/>
      <w:r>
        <w:rPr>
          <w:color w:val="auto"/>
          <w:sz w:val="20"/>
          <w:szCs w:val="20"/>
        </w:rPr>
        <w:t xml:space="preserve"> during pregnancy, and on the </w:t>
      </w:r>
      <w:proofErr w:type="spellStart"/>
      <w:r>
        <w:rPr>
          <w:color w:val="auto"/>
          <w:sz w:val="20"/>
          <w:szCs w:val="20"/>
        </w:rPr>
        <w:t>foetus</w:t>
      </w:r>
      <w:proofErr w:type="spellEnd"/>
      <w:r>
        <w:rPr>
          <w:color w:val="auto"/>
          <w:sz w:val="20"/>
          <w:szCs w:val="20"/>
        </w:rPr>
        <w:t xml:space="preserve"> are still lacking. If in fact less visceral and ectopic fat in the </w:t>
      </w:r>
      <w:proofErr w:type="spellStart"/>
      <w:r>
        <w:rPr>
          <w:color w:val="auto"/>
          <w:sz w:val="20"/>
          <w:szCs w:val="20"/>
        </w:rPr>
        <w:t>foetus</w:t>
      </w:r>
      <w:proofErr w:type="spellEnd"/>
      <w:r>
        <w:rPr>
          <w:color w:val="auto"/>
          <w:sz w:val="20"/>
          <w:szCs w:val="20"/>
        </w:rPr>
        <w:t xml:space="preserve"> may signal reduced insulin resistance, therefore there may be a long-term benefit from in utero metformin exposure which is not yet proved.</w:t>
      </w:r>
      <w:r>
        <w:rPr>
          <w:color w:val="auto"/>
          <w:sz w:val="13"/>
          <w:szCs w:val="13"/>
        </w:rPr>
        <w:t xml:space="preserve">45 </w:t>
      </w:r>
    </w:p>
    <w:p w:rsidR="000C465B" w:rsidRDefault="000C465B" w:rsidP="000C465B">
      <w:pPr>
        <w:pStyle w:val="Default"/>
        <w:rPr>
          <w:color w:val="auto"/>
          <w:sz w:val="20"/>
          <w:szCs w:val="20"/>
        </w:rPr>
      </w:pPr>
      <w:r>
        <w:rPr>
          <w:b/>
          <w:bCs/>
          <w:color w:val="auto"/>
          <w:sz w:val="20"/>
          <w:szCs w:val="20"/>
        </w:rPr>
        <w:t xml:space="preserve">METHODS </w:t>
      </w:r>
    </w:p>
    <w:p w:rsidR="000C465B" w:rsidRDefault="000C465B" w:rsidP="000C465B">
      <w:pPr>
        <w:pStyle w:val="Default"/>
        <w:rPr>
          <w:color w:val="auto"/>
          <w:sz w:val="20"/>
          <w:szCs w:val="20"/>
        </w:rPr>
      </w:pPr>
      <w:proofErr w:type="gramStart"/>
      <w:r>
        <w:rPr>
          <w:color w:val="auto"/>
          <w:sz w:val="20"/>
          <w:szCs w:val="20"/>
        </w:rPr>
        <w:t xml:space="preserve">A prospective study was conducted in El </w:t>
      </w:r>
      <w:proofErr w:type="spellStart"/>
      <w:r>
        <w:rPr>
          <w:color w:val="auto"/>
          <w:sz w:val="20"/>
          <w:szCs w:val="20"/>
        </w:rPr>
        <w:t>Shatby</w:t>
      </w:r>
      <w:proofErr w:type="spellEnd"/>
      <w:r>
        <w:rPr>
          <w:color w:val="auto"/>
          <w:sz w:val="20"/>
          <w:szCs w:val="20"/>
        </w:rPr>
        <w:t xml:space="preserve"> maternity hospital, Alexandria, Egypt after the approval of the ethics committee of Alexandria university</w:t>
      </w:r>
      <w:proofErr w:type="gramEnd"/>
      <w:r>
        <w:rPr>
          <w:color w:val="auto"/>
          <w:sz w:val="20"/>
          <w:szCs w:val="20"/>
        </w:rPr>
        <w:t>, the study was registered in the south African Cochrane Centre under an identification number PACTR201505001142202. Two Hundreds pregnant participants with a BMI of ≥35 Kg/m</w:t>
      </w:r>
      <w:r>
        <w:rPr>
          <w:color w:val="auto"/>
          <w:sz w:val="13"/>
          <w:szCs w:val="13"/>
        </w:rPr>
        <w:t>2</w:t>
      </w:r>
      <w:r>
        <w:rPr>
          <w:color w:val="auto"/>
          <w:sz w:val="20"/>
          <w:szCs w:val="20"/>
        </w:rPr>
        <w:t>, in the early second trimester, were offered to participate. Prior to inclusion, a 75 g oral glucose tolerance test was performed. Blood glucose, HbA1C and plasma insulin levels were measured at baseline, 1 h and 2 h after glucose ingestion.</w:t>
      </w:r>
      <w:r>
        <w:rPr>
          <w:color w:val="auto"/>
          <w:sz w:val="13"/>
          <w:szCs w:val="13"/>
        </w:rPr>
        <w:t xml:space="preserve">46 </w:t>
      </w:r>
      <w:r>
        <w:rPr>
          <w:color w:val="auto"/>
          <w:sz w:val="20"/>
          <w:szCs w:val="20"/>
        </w:rPr>
        <w:t xml:space="preserve">All participants had normal levels irrespective of the degree of insulin sensitivity. </w:t>
      </w:r>
    </w:p>
    <w:p w:rsidR="000C465B" w:rsidRDefault="000C465B" w:rsidP="000C465B">
      <w:pPr>
        <w:pStyle w:val="Default"/>
        <w:rPr>
          <w:color w:val="auto"/>
          <w:sz w:val="20"/>
          <w:szCs w:val="20"/>
        </w:rPr>
      </w:pPr>
      <w:r>
        <w:rPr>
          <w:color w:val="auto"/>
          <w:sz w:val="20"/>
          <w:szCs w:val="20"/>
        </w:rPr>
        <w:t xml:space="preserve">Participants were divided into two groups; </w:t>
      </w:r>
    </w:p>
    <w:p w:rsidR="000C465B" w:rsidRDefault="000C465B" w:rsidP="000C465B">
      <w:pPr>
        <w:pStyle w:val="Default"/>
        <w:rPr>
          <w:color w:val="auto"/>
          <w:sz w:val="20"/>
          <w:szCs w:val="20"/>
        </w:rPr>
      </w:pPr>
      <w:r>
        <w:rPr>
          <w:color w:val="auto"/>
          <w:sz w:val="20"/>
          <w:szCs w:val="20"/>
        </w:rPr>
        <w:t xml:space="preserve">Group 1: Hundred participants received metformin in a dose of 500 mg twice a day. </w:t>
      </w:r>
    </w:p>
    <w:p w:rsidR="000C465B" w:rsidRDefault="000C465B" w:rsidP="000C465B">
      <w:pPr>
        <w:pStyle w:val="Default"/>
        <w:rPr>
          <w:color w:val="auto"/>
          <w:sz w:val="20"/>
          <w:szCs w:val="20"/>
        </w:rPr>
      </w:pPr>
      <w:r>
        <w:rPr>
          <w:color w:val="auto"/>
          <w:sz w:val="20"/>
          <w:szCs w:val="20"/>
        </w:rPr>
        <w:t xml:space="preserve">Group 2: Hundred participants received placebo. </w:t>
      </w:r>
    </w:p>
    <w:p w:rsidR="000C465B" w:rsidRDefault="000C465B" w:rsidP="000C465B">
      <w:pPr>
        <w:pStyle w:val="Default"/>
        <w:rPr>
          <w:color w:val="auto"/>
          <w:sz w:val="20"/>
          <w:szCs w:val="20"/>
        </w:rPr>
      </w:pPr>
      <w:r>
        <w:rPr>
          <w:color w:val="auto"/>
          <w:sz w:val="20"/>
          <w:szCs w:val="20"/>
        </w:rPr>
        <w:t>Both groups were followed up monthly for weight and for the development of pregnancy complications namely gestational Diabetes and pre-</w:t>
      </w:r>
      <w:proofErr w:type="spellStart"/>
      <w:r>
        <w:rPr>
          <w:color w:val="auto"/>
          <w:sz w:val="20"/>
          <w:szCs w:val="20"/>
        </w:rPr>
        <w:t>eclampsia</w:t>
      </w:r>
      <w:proofErr w:type="spellEnd"/>
      <w:r>
        <w:rPr>
          <w:color w:val="auto"/>
          <w:sz w:val="20"/>
          <w:szCs w:val="20"/>
        </w:rPr>
        <w:t xml:space="preserve"> till 36 weeks. Periodic </w:t>
      </w:r>
      <w:proofErr w:type="spellStart"/>
      <w:r>
        <w:rPr>
          <w:color w:val="auto"/>
          <w:sz w:val="20"/>
          <w:szCs w:val="20"/>
        </w:rPr>
        <w:t>ultrasonographic</w:t>
      </w:r>
      <w:proofErr w:type="spellEnd"/>
      <w:r>
        <w:rPr>
          <w:color w:val="auto"/>
          <w:sz w:val="20"/>
          <w:szCs w:val="20"/>
        </w:rPr>
        <w:t xml:space="preserve"> fetal weight estimation was also done. </w:t>
      </w:r>
    </w:p>
    <w:p w:rsidR="000C465B" w:rsidRDefault="000C465B" w:rsidP="000C465B">
      <w:pPr>
        <w:pStyle w:val="Default"/>
        <w:rPr>
          <w:color w:val="auto"/>
          <w:sz w:val="18"/>
          <w:szCs w:val="18"/>
        </w:rPr>
      </w:pPr>
      <w:r>
        <w:rPr>
          <w:color w:val="auto"/>
          <w:sz w:val="20"/>
          <w:szCs w:val="20"/>
        </w:rPr>
        <w:t>The aim of the study is to evaluate if metformin in the obese pregnant will limit weight gain and thereby decreasing obesity risks with pregnancy especially pre-</w:t>
      </w:r>
      <w:r>
        <w:rPr>
          <w:i/>
          <w:iCs/>
          <w:color w:val="auto"/>
          <w:sz w:val="18"/>
          <w:szCs w:val="18"/>
        </w:rPr>
        <w:t xml:space="preserve">Ali </w:t>
      </w:r>
      <w:proofErr w:type="spellStart"/>
      <w:r>
        <w:rPr>
          <w:i/>
          <w:iCs/>
          <w:color w:val="auto"/>
          <w:sz w:val="18"/>
          <w:szCs w:val="18"/>
        </w:rPr>
        <w:t>Abd</w:t>
      </w:r>
      <w:proofErr w:type="spellEnd"/>
      <w:r>
        <w:rPr>
          <w:i/>
          <w:iCs/>
          <w:color w:val="auto"/>
          <w:sz w:val="18"/>
          <w:szCs w:val="18"/>
        </w:rPr>
        <w:t xml:space="preserve"> El Fattah E. </w:t>
      </w:r>
      <w:proofErr w:type="spellStart"/>
      <w:r>
        <w:rPr>
          <w:i/>
          <w:iCs/>
          <w:color w:val="auto"/>
          <w:sz w:val="18"/>
          <w:szCs w:val="18"/>
        </w:rPr>
        <w:t>Int</w:t>
      </w:r>
      <w:proofErr w:type="spellEnd"/>
      <w:r>
        <w:rPr>
          <w:i/>
          <w:iCs/>
          <w:color w:val="auto"/>
          <w:sz w:val="18"/>
          <w:szCs w:val="18"/>
        </w:rPr>
        <w:t xml:space="preserve"> J </w:t>
      </w:r>
      <w:proofErr w:type="spellStart"/>
      <w:r>
        <w:rPr>
          <w:i/>
          <w:iCs/>
          <w:color w:val="auto"/>
          <w:sz w:val="18"/>
          <w:szCs w:val="18"/>
        </w:rPr>
        <w:t>Reprod</w:t>
      </w:r>
      <w:proofErr w:type="spellEnd"/>
      <w:r>
        <w:rPr>
          <w:i/>
          <w:iCs/>
          <w:color w:val="auto"/>
          <w:sz w:val="18"/>
          <w:szCs w:val="18"/>
        </w:rPr>
        <w:t xml:space="preserve"> </w:t>
      </w:r>
      <w:proofErr w:type="spellStart"/>
      <w:r>
        <w:rPr>
          <w:i/>
          <w:iCs/>
          <w:color w:val="auto"/>
          <w:sz w:val="18"/>
          <w:szCs w:val="18"/>
        </w:rPr>
        <w:t>Contracept</w:t>
      </w:r>
      <w:proofErr w:type="spellEnd"/>
      <w:r>
        <w:rPr>
          <w:i/>
          <w:iCs/>
          <w:color w:val="auto"/>
          <w:sz w:val="18"/>
          <w:szCs w:val="18"/>
        </w:rPr>
        <w:t xml:space="preserve"> </w:t>
      </w:r>
      <w:proofErr w:type="spellStart"/>
      <w:r>
        <w:rPr>
          <w:i/>
          <w:iCs/>
          <w:color w:val="auto"/>
          <w:sz w:val="18"/>
          <w:szCs w:val="18"/>
        </w:rPr>
        <w:t>Obstet</w:t>
      </w:r>
      <w:proofErr w:type="spellEnd"/>
      <w:r>
        <w:rPr>
          <w:i/>
          <w:iCs/>
          <w:color w:val="auto"/>
          <w:sz w:val="18"/>
          <w:szCs w:val="18"/>
        </w:rPr>
        <w:t xml:space="preserve"> Gynecol. 2016 Mar;5(3):xxx-xxx </w:t>
      </w:r>
    </w:p>
    <w:p w:rsidR="000C465B" w:rsidRDefault="000C465B" w:rsidP="000C465B">
      <w:pPr>
        <w:pStyle w:val="Default"/>
        <w:rPr>
          <w:color w:val="auto"/>
          <w:sz w:val="18"/>
          <w:szCs w:val="18"/>
        </w:rPr>
      </w:pPr>
      <w:r>
        <w:rPr>
          <w:color w:val="auto"/>
          <w:sz w:val="18"/>
          <w:szCs w:val="18"/>
        </w:rPr>
        <w:t xml:space="preserve">International Journal of Reproduction, Contraception, Obstetrics and Gynecology Volume 5 · Issue 3 Page 3 </w:t>
      </w:r>
    </w:p>
    <w:p w:rsidR="000C465B" w:rsidRDefault="000C465B" w:rsidP="000C465B">
      <w:pPr>
        <w:pStyle w:val="Default"/>
        <w:rPr>
          <w:color w:val="auto"/>
        </w:rPr>
      </w:pPr>
    </w:p>
    <w:p w:rsidR="000C465B" w:rsidRDefault="000C465B" w:rsidP="000C465B">
      <w:pPr>
        <w:pStyle w:val="Default"/>
        <w:rPr>
          <w:color w:val="auto"/>
        </w:rPr>
        <w:sectPr w:rsidR="000C465B">
          <w:type w:val="continuous"/>
          <w:pgSz w:w="11906" w:h="17338"/>
          <w:pgMar w:top="1151" w:right="545" w:bottom="661" w:left="830" w:header="720" w:footer="720" w:gutter="0"/>
          <w:cols w:num="2" w:space="720" w:equalWidth="0">
            <w:col w:w="4717" w:space="331"/>
            <w:col w:w="4717"/>
          </w:cols>
          <w:noEndnote/>
        </w:sectPr>
      </w:pPr>
    </w:p>
    <w:p w:rsidR="000C465B" w:rsidRDefault="000C465B" w:rsidP="000C465B">
      <w:pPr>
        <w:pStyle w:val="Default"/>
        <w:pageBreakBefore/>
        <w:rPr>
          <w:color w:val="auto"/>
          <w:sz w:val="20"/>
          <w:szCs w:val="20"/>
        </w:rPr>
      </w:pPr>
      <w:proofErr w:type="spellStart"/>
      <w:proofErr w:type="gramStart"/>
      <w:r>
        <w:rPr>
          <w:color w:val="auto"/>
          <w:sz w:val="20"/>
          <w:szCs w:val="20"/>
        </w:rPr>
        <w:lastRenderedPageBreak/>
        <w:t>eclampsia</w:t>
      </w:r>
      <w:proofErr w:type="spellEnd"/>
      <w:proofErr w:type="gramEnd"/>
      <w:r>
        <w:rPr>
          <w:color w:val="auto"/>
          <w:sz w:val="20"/>
          <w:szCs w:val="20"/>
        </w:rPr>
        <w:t xml:space="preserve"> and gestational diabetes, and also to evaluate if its use will affect the fetal weight or not. </w:t>
      </w:r>
    </w:p>
    <w:p w:rsidR="000C465B" w:rsidRDefault="000C465B" w:rsidP="000C465B">
      <w:pPr>
        <w:pStyle w:val="Default"/>
        <w:rPr>
          <w:color w:val="auto"/>
          <w:sz w:val="20"/>
          <w:szCs w:val="20"/>
        </w:rPr>
      </w:pPr>
      <w:r>
        <w:rPr>
          <w:b/>
          <w:bCs/>
          <w:color w:val="auto"/>
          <w:sz w:val="20"/>
          <w:szCs w:val="20"/>
        </w:rPr>
        <w:t xml:space="preserve">RESULTS </w:t>
      </w:r>
    </w:p>
    <w:p w:rsidR="000C465B" w:rsidRDefault="000C465B" w:rsidP="000C465B">
      <w:pPr>
        <w:pStyle w:val="Default"/>
        <w:rPr>
          <w:color w:val="auto"/>
          <w:sz w:val="20"/>
          <w:szCs w:val="20"/>
        </w:rPr>
      </w:pPr>
      <w:r>
        <w:rPr>
          <w:color w:val="auto"/>
          <w:sz w:val="20"/>
          <w:szCs w:val="20"/>
        </w:rPr>
        <w:t xml:space="preserve">A total of 200 participants were included in the study. The average age was 26 years. The average dose of metformin was 1000mg daily in the metformin-treated group ranging from 500 mg to 1500 mg depending on the original body mass index. </w:t>
      </w:r>
    </w:p>
    <w:p w:rsidR="000C465B" w:rsidRDefault="000C465B" w:rsidP="000C465B">
      <w:pPr>
        <w:pStyle w:val="Default"/>
        <w:rPr>
          <w:color w:val="auto"/>
          <w:sz w:val="20"/>
          <w:szCs w:val="20"/>
        </w:rPr>
      </w:pPr>
      <w:r>
        <w:rPr>
          <w:color w:val="auto"/>
          <w:sz w:val="20"/>
          <w:szCs w:val="20"/>
        </w:rPr>
        <w:t xml:space="preserve">Only 15 (15%) patients under metformin complained of gastrointestinal side effects which were well tolerated and they continued the drug. Monthly </w:t>
      </w:r>
      <w:proofErr w:type="spellStart"/>
      <w:r>
        <w:rPr>
          <w:color w:val="auto"/>
          <w:sz w:val="20"/>
          <w:szCs w:val="20"/>
        </w:rPr>
        <w:t>ultrasonographic</w:t>
      </w:r>
      <w:proofErr w:type="spellEnd"/>
      <w:r>
        <w:rPr>
          <w:color w:val="auto"/>
          <w:sz w:val="20"/>
          <w:szCs w:val="20"/>
        </w:rPr>
        <w:t xml:space="preserve"> evaluation of the </w:t>
      </w:r>
      <w:proofErr w:type="spellStart"/>
      <w:r>
        <w:rPr>
          <w:color w:val="auto"/>
          <w:sz w:val="20"/>
          <w:szCs w:val="20"/>
        </w:rPr>
        <w:t>foetal</w:t>
      </w:r>
      <w:proofErr w:type="spellEnd"/>
      <w:r>
        <w:rPr>
          <w:color w:val="auto"/>
          <w:sz w:val="20"/>
          <w:szCs w:val="20"/>
        </w:rPr>
        <w:t xml:space="preserve"> weight was done and the estimated </w:t>
      </w:r>
      <w:proofErr w:type="spellStart"/>
      <w:r>
        <w:rPr>
          <w:color w:val="auto"/>
          <w:sz w:val="20"/>
          <w:szCs w:val="20"/>
        </w:rPr>
        <w:t>foetal</w:t>
      </w:r>
      <w:proofErr w:type="spellEnd"/>
      <w:r>
        <w:rPr>
          <w:color w:val="auto"/>
          <w:sz w:val="20"/>
          <w:szCs w:val="20"/>
        </w:rPr>
        <w:t xml:space="preserve"> weight for all the participants matched with the percentile for </w:t>
      </w:r>
      <w:proofErr w:type="spellStart"/>
      <w:r>
        <w:rPr>
          <w:color w:val="auto"/>
          <w:sz w:val="20"/>
          <w:szCs w:val="20"/>
        </w:rPr>
        <w:t>foetal</w:t>
      </w:r>
      <w:proofErr w:type="spellEnd"/>
      <w:r>
        <w:rPr>
          <w:color w:val="auto"/>
          <w:sz w:val="20"/>
          <w:szCs w:val="20"/>
        </w:rPr>
        <w:t xml:space="preserve"> age. </w:t>
      </w:r>
    </w:p>
    <w:p w:rsidR="000C465B" w:rsidRDefault="000C465B" w:rsidP="000C465B">
      <w:pPr>
        <w:pStyle w:val="Default"/>
        <w:rPr>
          <w:color w:val="auto"/>
          <w:sz w:val="20"/>
          <w:szCs w:val="20"/>
        </w:rPr>
      </w:pPr>
      <w:r>
        <w:rPr>
          <w:b/>
          <w:bCs/>
          <w:i/>
          <w:iCs/>
          <w:color w:val="auto"/>
          <w:sz w:val="20"/>
          <w:szCs w:val="20"/>
        </w:rPr>
        <w:t xml:space="preserve">Statistical procedure </w:t>
      </w:r>
    </w:p>
    <w:p w:rsidR="000C465B" w:rsidRDefault="000C465B" w:rsidP="000C465B">
      <w:pPr>
        <w:pStyle w:val="Default"/>
        <w:rPr>
          <w:color w:val="auto"/>
          <w:sz w:val="13"/>
          <w:szCs w:val="13"/>
        </w:rPr>
      </w:pPr>
      <w:r>
        <w:rPr>
          <w:color w:val="auto"/>
          <w:sz w:val="20"/>
          <w:szCs w:val="20"/>
        </w:rPr>
        <w:t>Data were collected and entered to the computer using SPSS (Statistical Package for Social Science) program for statistical analysis (</w:t>
      </w:r>
      <w:proofErr w:type="spellStart"/>
      <w:r>
        <w:rPr>
          <w:color w:val="auto"/>
          <w:sz w:val="20"/>
          <w:szCs w:val="20"/>
        </w:rPr>
        <w:t>ver</w:t>
      </w:r>
      <w:proofErr w:type="spellEnd"/>
      <w:r>
        <w:rPr>
          <w:color w:val="auto"/>
          <w:sz w:val="20"/>
          <w:szCs w:val="20"/>
        </w:rPr>
        <w:t xml:space="preserve"> 20). Data were entered as numerical or categorical, as appropriate. Parametric statistics (minimum and maximum, mean, standard deviation) and comparison using independent t-test was carried out. Chi-squared test (Fisher Exact) was used for analysis of association. In the present study an alpha level was set to 5% with a significance level of 95%, and a beta error accepted up to 20% with a power of study of 80%.</w:t>
      </w:r>
      <w:r>
        <w:rPr>
          <w:color w:val="auto"/>
          <w:sz w:val="13"/>
          <w:szCs w:val="13"/>
        </w:rPr>
        <w:t xml:space="preserve">7 </w:t>
      </w:r>
    </w:p>
    <w:p w:rsidR="000C465B" w:rsidRDefault="000C465B" w:rsidP="000C465B">
      <w:pPr>
        <w:pStyle w:val="Default"/>
        <w:rPr>
          <w:color w:val="auto"/>
          <w:sz w:val="20"/>
          <w:szCs w:val="20"/>
        </w:rPr>
      </w:pPr>
      <w:r>
        <w:rPr>
          <w:color w:val="auto"/>
          <w:sz w:val="20"/>
          <w:szCs w:val="20"/>
        </w:rPr>
        <w:t xml:space="preserve">Table 1 displays the age, BMI and basal investigations in the two studied groups. </w:t>
      </w:r>
    </w:p>
    <w:tbl>
      <w:tblPr>
        <w:bidiVisual/>
        <w:tblW w:w="0" w:type="auto"/>
        <w:tblBorders>
          <w:top w:val="nil"/>
          <w:left w:val="nil"/>
          <w:bottom w:val="nil"/>
          <w:right w:val="nil"/>
        </w:tblBorders>
        <w:tblLayout w:type="fixed"/>
        <w:tblLook w:val="0000" w:firstRow="0" w:lastRow="0" w:firstColumn="0" w:lastColumn="0" w:noHBand="0" w:noVBand="0"/>
      </w:tblPr>
      <w:tblGrid>
        <w:gridCol w:w="2340"/>
        <w:gridCol w:w="781"/>
        <w:gridCol w:w="1559"/>
        <w:gridCol w:w="1562"/>
        <w:gridCol w:w="778"/>
        <w:gridCol w:w="2343"/>
      </w:tblGrid>
      <w:tr w:rsidR="000C465B">
        <w:tblPrEx>
          <w:tblCellMar>
            <w:top w:w="0" w:type="dxa"/>
            <w:bottom w:w="0" w:type="dxa"/>
          </w:tblCellMar>
        </w:tblPrEx>
        <w:trPr>
          <w:trHeight w:val="88"/>
        </w:trPr>
        <w:tc>
          <w:tcPr>
            <w:tcW w:w="3121" w:type="dxa"/>
            <w:gridSpan w:val="2"/>
          </w:tcPr>
          <w:p w:rsidR="000C465B" w:rsidRDefault="000C465B">
            <w:pPr>
              <w:pStyle w:val="Default"/>
              <w:rPr>
                <w:sz w:val="20"/>
                <w:szCs w:val="20"/>
              </w:rPr>
            </w:pPr>
            <w:r>
              <w:rPr>
                <w:b/>
                <w:bCs/>
                <w:color w:val="auto"/>
                <w:sz w:val="20"/>
                <w:szCs w:val="20"/>
              </w:rPr>
              <w:t xml:space="preserve">Table 1: Age, BMI and basal investigations in the two studied groups. </w:t>
            </w:r>
            <w:r>
              <w:rPr>
                <w:b/>
                <w:bCs/>
                <w:sz w:val="20"/>
                <w:szCs w:val="20"/>
              </w:rPr>
              <w:t xml:space="preserve">Metformin group (n=100) </w:t>
            </w:r>
          </w:p>
        </w:tc>
        <w:tc>
          <w:tcPr>
            <w:tcW w:w="3121" w:type="dxa"/>
            <w:gridSpan w:val="2"/>
          </w:tcPr>
          <w:p w:rsidR="000C465B" w:rsidRDefault="000C465B">
            <w:pPr>
              <w:pStyle w:val="Default"/>
              <w:rPr>
                <w:sz w:val="20"/>
                <w:szCs w:val="20"/>
              </w:rPr>
            </w:pPr>
            <w:r>
              <w:rPr>
                <w:b/>
                <w:bCs/>
                <w:sz w:val="20"/>
                <w:szCs w:val="20"/>
              </w:rPr>
              <w:t xml:space="preserve">Placebo group (n=100) </w:t>
            </w:r>
          </w:p>
        </w:tc>
        <w:tc>
          <w:tcPr>
            <w:tcW w:w="3121" w:type="dxa"/>
            <w:gridSpan w:val="2"/>
          </w:tcPr>
          <w:p w:rsidR="000C465B" w:rsidRDefault="000C465B">
            <w:pPr>
              <w:pStyle w:val="Default"/>
              <w:rPr>
                <w:sz w:val="20"/>
                <w:szCs w:val="20"/>
              </w:rPr>
            </w:pPr>
            <w:r>
              <w:rPr>
                <w:b/>
                <w:bCs/>
                <w:sz w:val="20"/>
                <w:szCs w:val="20"/>
              </w:rPr>
              <w:t xml:space="preserve">Significance </w:t>
            </w:r>
          </w:p>
        </w:tc>
      </w:tr>
      <w:tr w:rsidR="000C465B">
        <w:tblPrEx>
          <w:tblCellMar>
            <w:top w:w="0" w:type="dxa"/>
            <w:bottom w:w="0" w:type="dxa"/>
          </w:tblCellMar>
        </w:tblPrEx>
        <w:trPr>
          <w:trHeight w:val="315"/>
        </w:trPr>
        <w:tc>
          <w:tcPr>
            <w:tcW w:w="2340" w:type="dxa"/>
          </w:tcPr>
          <w:p w:rsidR="000C465B" w:rsidRDefault="000C465B">
            <w:pPr>
              <w:pStyle w:val="Default"/>
              <w:rPr>
                <w:sz w:val="20"/>
                <w:szCs w:val="20"/>
              </w:rPr>
            </w:pPr>
            <w:r>
              <w:rPr>
                <w:b/>
                <w:bCs/>
                <w:i/>
                <w:iCs/>
                <w:sz w:val="20"/>
                <w:szCs w:val="20"/>
              </w:rPr>
              <w:t xml:space="preserve">Age (years) </w:t>
            </w:r>
          </w:p>
          <w:p w:rsidR="000C465B" w:rsidRDefault="000C465B">
            <w:pPr>
              <w:pStyle w:val="Default"/>
              <w:rPr>
                <w:sz w:val="20"/>
                <w:szCs w:val="20"/>
              </w:rPr>
            </w:pPr>
            <w:r>
              <w:rPr>
                <w:sz w:val="20"/>
                <w:szCs w:val="20"/>
              </w:rPr>
              <w:t xml:space="preserve">Minimum-Maximum </w:t>
            </w:r>
          </w:p>
          <w:p w:rsidR="000C465B" w:rsidRDefault="000C465B">
            <w:pPr>
              <w:pStyle w:val="Default"/>
              <w:rPr>
                <w:sz w:val="20"/>
                <w:szCs w:val="20"/>
              </w:rPr>
            </w:pPr>
            <w:r>
              <w:rPr>
                <w:sz w:val="20"/>
                <w:szCs w:val="20"/>
              </w:rPr>
              <w:t xml:space="preserve">Mean ± S.D. </w:t>
            </w:r>
          </w:p>
        </w:tc>
        <w:tc>
          <w:tcPr>
            <w:tcW w:w="2340" w:type="dxa"/>
            <w:gridSpan w:val="2"/>
          </w:tcPr>
          <w:p w:rsidR="000C465B" w:rsidRDefault="000C465B">
            <w:pPr>
              <w:pStyle w:val="Default"/>
              <w:rPr>
                <w:sz w:val="20"/>
                <w:szCs w:val="20"/>
              </w:rPr>
            </w:pPr>
            <w:r>
              <w:rPr>
                <w:sz w:val="20"/>
                <w:szCs w:val="20"/>
              </w:rPr>
              <w:t xml:space="preserve">18-37 </w:t>
            </w:r>
          </w:p>
          <w:p w:rsidR="000C465B" w:rsidRDefault="000C465B">
            <w:pPr>
              <w:pStyle w:val="Default"/>
              <w:rPr>
                <w:sz w:val="20"/>
                <w:szCs w:val="20"/>
              </w:rPr>
            </w:pPr>
            <w:r>
              <w:rPr>
                <w:sz w:val="20"/>
                <w:szCs w:val="20"/>
              </w:rPr>
              <w:t xml:space="preserve">26.92±5.20 </w:t>
            </w:r>
          </w:p>
        </w:tc>
        <w:tc>
          <w:tcPr>
            <w:tcW w:w="2340" w:type="dxa"/>
            <w:gridSpan w:val="2"/>
          </w:tcPr>
          <w:p w:rsidR="000C465B" w:rsidRDefault="000C465B">
            <w:pPr>
              <w:pStyle w:val="Default"/>
              <w:rPr>
                <w:sz w:val="20"/>
                <w:szCs w:val="20"/>
              </w:rPr>
            </w:pPr>
            <w:r>
              <w:rPr>
                <w:sz w:val="20"/>
                <w:szCs w:val="20"/>
              </w:rPr>
              <w:t xml:space="preserve">17-38 </w:t>
            </w:r>
          </w:p>
          <w:p w:rsidR="000C465B" w:rsidRDefault="000C465B">
            <w:pPr>
              <w:pStyle w:val="Default"/>
              <w:rPr>
                <w:sz w:val="20"/>
                <w:szCs w:val="20"/>
              </w:rPr>
            </w:pPr>
            <w:r>
              <w:rPr>
                <w:sz w:val="20"/>
                <w:szCs w:val="20"/>
              </w:rPr>
              <w:t xml:space="preserve">26.20±5.51 </w:t>
            </w:r>
          </w:p>
        </w:tc>
        <w:tc>
          <w:tcPr>
            <w:tcW w:w="2340" w:type="dxa"/>
          </w:tcPr>
          <w:p w:rsidR="000C465B" w:rsidRDefault="000C465B">
            <w:pPr>
              <w:pStyle w:val="Default"/>
              <w:rPr>
                <w:sz w:val="20"/>
                <w:szCs w:val="20"/>
              </w:rPr>
            </w:pPr>
            <w:r>
              <w:rPr>
                <w:sz w:val="20"/>
                <w:szCs w:val="20"/>
              </w:rPr>
              <w:t xml:space="preserve">t=0.950 </w:t>
            </w:r>
          </w:p>
          <w:p w:rsidR="000C465B" w:rsidRDefault="000C465B">
            <w:pPr>
              <w:pStyle w:val="Default"/>
              <w:rPr>
                <w:sz w:val="20"/>
                <w:szCs w:val="20"/>
              </w:rPr>
            </w:pPr>
            <w:r>
              <w:rPr>
                <w:sz w:val="20"/>
                <w:szCs w:val="20"/>
              </w:rPr>
              <w:t xml:space="preserve">p=0.343 NS </w:t>
            </w:r>
          </w:p>
        </w:tc>
      </w:tr>
      <w:tr w:rsidR="000C465B">
        <w:tblPrEx>
          <w:tblCellMar>
            <w:top w:w="0" w:type="dxa"/>
            <w:bottom w:w="0" w:type="dxa"/>
          </w:tblCellMar>
        </w:tblPrEx>
        <w:trPr>
          <w:trHeight w:val="338"/>
        </w:trPr>
        <w:tc>
          <w:tcPr>
            <w:tcW w:w="2340" w:type="dxa"/>
          </w:tcPr>
          <w:p w:rsidR="000C465B" w:rsidRDefault="000C465B">
            <w:pPr>
              <w:pStyle w:val="Default"/>
              <w:rPr>
                <w:sz w:val="20"/>
                <w:szCs w:val="20"/>
              </w:rPr>
            </w:pPr>
            <w:r>
              <w:rPr>
                <w:b/>
                <w:bCs/>
                <w:i/>
                <w:iCs/>
                <w:sz w:val="20"/>
                <w:szCs w:val="20"/>
              </w:rPr>
              <w:t xml:space="preserve">BMI (kg/m2) </w:t>
            </w:r>
          </w:p>
          <w:p w:rsidR="000C465B" w:rsidRDefault="000C465B">
            <w:pPr>
              <w:pStyle w:val="Default"/>
              <w:rPr>
                <w:sz w:val="20"/>
                <w:szCs w:val="20"/>
              </w:rPr>
            </w:pPr>
            <w:r>
              <w:rPr>
                <w:sz w:val="20"/>
                <w:szCs w:val="20"/>
              </w:rPr>
              <w:t xml:space="preserve">Minimum-Maximum </w:t>
            </w:r>
          </w:p>
          <w:p w:rsidR="000C465B" w:rsidRDefault="000C465B">
            <w:pPr>
              <w:pStyle w:val="Default"/>
              <w:rPr>
                <w:sz w:val="20"/>
                <w:szCs w:val="20"/>
              </w:rPr>
            </w:pPr>
            <w:r>
              <w:rPr>
                <w:sz w:val="20"/>
                <w:szCs w:val="20"/>
              </w:rPr>
              <w:t xml:space="preserve">Mean ± S.D. </w:t>
            </w:r>
          </w:p>
        </w:tc>
        <w:tc>
          <w:tcPr>
            <w:tcW w:w="2340" w:type="dxa"/>
            <w:gridSpan w:val="2"/>
          </w:tcPr>
          <w:p w:rsidR="000C465B" w:rsidRDefault="000C465B">
            <w:pPr>
              <w:pStyle w:val="Default"/>
              <w:rPr>
                <w:sz w:val="20"/>
                <w:szCs w:val="20"/>
              </w:rPr>
            </w:pPr>
            <w:r>
              <w:rPr>
                <w:sz w:val="20"/>
                <w:szCs w:val="20"/>
              </w:rPr>
              <w:t xml:space="preserve">35.00-38.30 </w:t>
            </w:r>
          </w:p>
          <w:p w:rsidR="000C465B" w:rsidRDefault="000C465B">
            <w:pPr>
              <w:pStyle w:val="Default"/>
              <w:rPr>
                <w:sz w:val="20"/>
                <w:szCs w:val="20"/>
              </w:rPr>
            </w:pPr>
            <w:r>
              <w:rPr>
                <w:sz w:val="20"/>
                <w:szCs w:val="20"/>
              </w:rPr>
              <w:t xml:space="preserve">36.42±1.04 </w:t>
            </w:r>
          </w:p>
        </w:tc>
        <w:tc>
          <w:tcPr>
            <w:tcW w:w="2340" w:type="dxa"/>
            <w:gridSpan w:val="2"/>
          </w:tcPr>
          <w:p w:rsidR="000C465B" w:rsidRDefault="000C465B">
            <w:pPr>
              <w:pStyle w:val="Default"/>
              <w:rPr>
                <w:sz w:val="20"/>
                <w:szCs w:val="20"/>
              </w:rPr>
            </w:pPr>
            <w:r>
              <w:rPr>
                <w:sz w:val="20"/>
                <w:szCs w:val="20"/>
              </w:rPr>
              <w:t xml:space="preserve">35.00-38.00 </w:t>
            </w:r>
          </w:p>
          <w:p w:rsidR="000C465B" w:rsidRDefault="000C465B">
            <w:pPr>
              <w:pStyle w:val="Default"/>
              <w:rPr>
                <w:sz w:val="20"/>
                <w:szCs w:val="20"/>
              </w:rPr>
            </w:pPr>
            <w:r>
              <w:rPr>
                <w:sz w:val="20"/>
                <w:szCs w:val="20"/>
              </w:rPr>
              <w:t xml:space="preserve">36.17±0.99 </w:t>
            </w:r>
          </w:p>
        </w:tc>
        <w:tc>
          <w:tcPr>
            <w:tcW w:w="2340" w:type="dxa"/>
          </w:tcPr>
          <w:p w:rsidR="000C465B" w:rsidRDefault="000C465B">
            <w:pPr>
              <w:pStyle w:val="Default"/>
              <w:rPr>
                <w:sz w:val="20"/>
                <w:szCs w:val="20"/>
              </w:rPr>
            </w:pPr>
            <w:r>
              <w:rPr>
                <w:sz w:val="20"/>
                <w:szCs w:val="20"/>
              </w:rPr>
              <w:t xml:space="preserve">t=1.759 </w:t>
            </w:r>
          </w:p>
          <w:p w:rsidR="000C465B" w:rsidRDefault="000C465B">
            <w:pPr>
              <w:pStyle w:val="Default"/>
              <w:rPr>
                <w:sz w:val="20"/>
                <w:szCs w:val="20"/>
              </w:rPr>
            </w:pPr>
            <w:r>
              <w:rPr>
                <w:sz w:val="20"/>
                <w:szCs w:val="20"/>
              </w:rPr>
              <w:t xml:space="preserve">p=0.080 NS </w:t>
            </w:r>
          </w:p>
        </w:tc>
      </w:tr>
      <w:tr w:rsidR="000C465B">
        <w:tblPrEx>
          <w:tblCellMar>
            <w:top w:w="0" w:type="dxa"/>
            <w:bottom w:w="0" w:type="dxa"/>
          </w:tblCellMar>
        </w:tblPrEx>
        <w:trPr>
          <w:trHeight w:val="316"/>
        </w:trPr>
        <w:tc>
          <w:tcPr>
            <w:tcW w:w="2340" w:type="dxa"/>
          </w:tcPr>
          <w:p w:rsidR="000C465B" w:rsidRDefault="000C465B">
            <w:pPr>
              <w:pStyle w:val="Default"/>
              <w:rPr>
                <w:sz w:val="20"/>
                <w:szCs w:val="20"/>
              </w:rPr>
            </w:pPr>
            <w:r>
              <w:rPr>
                <w:b/>
                <w:bCs/>
                <w:i/>
                <w:iCs/>
                <w:sz w:val="20"/>
                <w:szCs w:val="20"/>
              </w:rPr>
              <w:t xml:space="preserve">Fasting blood glucose (mg/dl) </w:t>
            </w:r>
          </w:p>
          <w:p w:rsidR="000C465B" w:rsidRDefault="000C465B">
            <w:pPr>
              <w:pStyle w:val="Default"/>
              <w:rPr>
                <w:sz w:val="20"/>
                <w:szCs w:val="20"/>
              </w:rPr>
            </w:pPr>
            <w:r>
              <w:rPr>
                <w:sz w:val="20"/>
                <w:szCs w:val="20"/>
              </w:rPr>
              <w:t xml:space="preserve">Minimum-Maximum </w:t>
            </w:r>
          </w:p>
          <w:p w:rsidR="000C465B" w:rsidRDefault="000C465B">
            <w:pPr>
              <w:pStyle w:val="Default"/>
              <w:rPr>
                <w:sz w:val="20"/>
                <w:szCs w:val="20"/>
              </w:rPr>
            </w:pPr>
            <w:r>
              <w:rPr>
                <w:sz w:val="20"/>
                <w:szCs w:val="20"/>
              </w:rPr>
              <w:t xml:space="preserve">Mean ± S.D. </w:t>
            </w:r>
          </w:p>
        </w:tc>
        <w:tc>
          <w:tcPr>
            <w:tcW w:w="2340" w:type="dxa"/>
            <w:gridSpan w:val="2"/>
          </w:tcPr>
          <w:p w:rsidR="000C465B" w:rsidRDefault="000C465B">
            <w:pPr>
              <w:pStyle w:val="Default"/>
              <w:rPr>
                <w:sz w:val="20"/>
                <w:szCs w:val="20"/>
              </w:rPr>
            </w:pPr>
            <w:r>
              <w:rPr>
                <w:sz w:val="20"/>
                <w:szCs w:val="20"/>
              </w:rPr>
              <w:t xml:space="preserve">57.00-87.00 </w:t>
            </w:r>
          </w:p>
          <w:p w:rsidR="000C465B" w:rsidRDefault="000C465B">
            <w:pPr>
              <w:pStyle w:val="Default"/>
              <w:rPr>
                <w:sz w:val="20"/>
                <w:szCs w:val="20"/>
              </w:rPr>
            </w:pPr>
            <w:r>
              <w:rPr>
                <w:sz w:val="20"/>
                <w:szCs w:val="20"/>
              </w:rPr>
              <w:t xml:space="preserve">72.73±8.47 </w:t>
            </w:r>
          </w:p>
        </w:tc>
        <w:tc>
          <w:tcPr>
            <w:tcW w:w="2340" w:type="dxa"/>
            <w:gridSpan w:val="2"/>
          </w:tcPr>
          <w:p w:rsidR="000C465B" w:rsidRDefault="000C465B">
            <w:pPr>
              <w:pStyle w:val="Default"/>
              <w:rPr>
                <w:sz w:val="20"/>
                <w:szCs w:val="20"/>
              </w:rPr>
            </w:pPr>
            <w:r>
              <w:rPr>
                <w:sz w:val="20"/>
                <w:szCs w:val="20"/>
              </w:rPr>
              <w:t xml:space="preserve">57.00-89.00 </w:t>
            </w:r>
          </w:p>
          <w:p w:rsidR="000C465B" w:rsidRDefault="000C465B">
            <w:pPr>
              <w:pStyle w:val="Default"/>
              <w:rPr>
                <w:sz w:val="20"/>
                <w:szCs w:val="20"/>
              </w:rPr>
            </w:pPr>
            <w:r>
              <w:rPr>
                <w:sz w:val="20"/>
                <w:szCs w:val="20"/>
              </w:rPr>
              <w:t xml:space="preserve">71.29±8.83 </w:t>
            </w:r>
          </w:p>
        </w:tc>
        <w:tc>
          <w:tcPr>
            <w:tcW w:w="2340" w:type="dxa"/>
          </w:tcPr>
          <w:p w:rsidR="000C465B" w:rsidRDefault="000C465B">
            <w:pPr>
              <w:pStyle w:val="Default"/>
              <w:rPr>
                <w:sz w:val="20"/>
                <w:szCs w:val="20"/>
              </w:rPr>
            </w:pPr>
            <w:r>
              <w:rPr>
                <w:sz w:val="20"/>
                <w:szCs w:val="20"/>
              </w:rPr>
              <w:t xml:space="preserve">t=1.176 </w:t>
            </w:r>
          </w:p>
          <w:p w:rsidR="000C465B" w:rsidRDefault="000C465B">
            <w:pPr>
              <w:pStyle w:val="Default"/>
              <w:rPr>
                <w:sz w:val="20"/>
                <w:szCs w:val="20"/>
              </w:rPr>
            </w:pPr>
            <w:r>
              <w:rPr>
                <w:sz w:val="20"/>
                <w:szCs w:val="20"/>
              </w:rPr>
              <w:t xml:space="preserve">p=0.241 NS </w:t>
            </w:r>
          </w:p>
        </w:tc>
      </w:tr>
      <w:tr w:rsidR="000C465B">
        <w:tblPrEx>
          <w:tblCellMar>
            <w:top w:w="0" w:type="dxa"/>
            <w:bottom w:w="0" w:type="dxa"/>
          </w:tblCellMar>
        </w:tblPrEx>
        <w:trPr>
          <w:trHeight w:val="316"/>
        </w:trPr>
        <w:tc>
          <w:tcPr>
            <w:tcW w:w="2340" w:type="dxa"/>
          </w:tcPr>
          <w:p w:rsidR="000C465B" w:rsidRDefault="000C465B">
            <w:pPr>
              <w:pStyle w:val="Default"/>
              <w:rPr>
                <w:sz w:val="20"/>
                <w:szCs w:val="20"/>
              </w:rPr>
            </w:pPr>
            <w:r>
              <w:rPr>
                <w:b/>
                <w:bCs/>
                <w:i/>
                <w:iCs/>
                <w:sz w:val="20"/>
                <w:szCs w:val="20"/>
              </w:rPr>
              <w:t xml:space="preserve">1-hour PPBG (mg/dl) </w:t>
            </w:r>
          </w:p>
          <w:p w:rsidR="000C465B" w:rsidRDefault="000C465B">
            <w:pPr>
              <w:pStyle w:val="Default"/>
              <w:rPr>
                <w:sz w:val="20"/>
                <w:szCs w:val="20"/>
              </w:rPr>
            </w:pPr>
            <w:r>
              <w:rPr>
                <w:sz w:val="20"/>
                <w:szCs w:val="20"/>
              </w:rPr>
              <w:t xml:space="preserve">Minimum-Maximum </w:t>
            </w:r>
          </w:p>
          <w:p w:rsidR="000C465B" w:rsidRDefault="000C465B">
            <w:pPr>
              <w:pStyle w:val="Default"/>
              <w:rPr>
                <w:sz w:val="20"/>
                <w:szCs w:val="20"/>
              </w:rPr>
            </w:pPr>
            <w:r>
              <w:rPr>
                <w:sz w:val="20"/>
                <w:szCs w:val="20"/>
              </w:rPr>
              <w:t xml:space="preserve">Mean ± S.D. </w:t>
            </w:r>
          </w:p>
        </w:tc>
        <w:tc>
          <w:tcPr>
            <w:tcW w:w="2340" w:type="dxa"/>
            <w:gridSpan w:val="2"/>
          </w:tcPr>
          <w:p w:rsidR="000C465B" w:rsidRDefault="000C465B">
            <w:pPr>
              <w:pStyle w:val="Default"/>
              <w:rPr>
                <w:sz w:val="20"/>
                <w:szCs w:val="20"/>
              </w:rPr>
            </w:pPr>
            <w:r>
              <w:rPr>
                <w:sz w:val="20"/>
                <w:szCs w:val="20"/>
              </w:rPr>
              <w:t xml:space="preserve">89.00-142.00 </w:t>
            </w:r>
          </w:p>
          <w:p w:rsidR="000C465B" w:rsidRDefault="000C465B">
            <w:pPr>
              <w:pStyle w:val="Default"/>
              <w:rPr>
                <w:sz w:val="20"/>
                <w:szCs w:val="20"/>
              </w:rPr>
            </w:pPr>
            <w:r>
              <w:rPr>
                <w:sz w:val="20"/>
                <w:szCs w:val="20"/>
              </w:rPr>
              <w:t xml:space="preserve">107.55±13.12 </w:t>
            </w:r>
          </w:p>
        </w:tc>
        <w:tc>
          <w:tcPr>
            <w:tcW w:w="2340" w:type="dxa"/>
            <w:gridSpan w:val="2"/>
          </w:tcPr>
          <w:p w:rsidR="000C465B" w:rsidRDefault="000C465B">
            <w:pPr>
              <w:pStyle w:val="Default"/>
              <w:rPr>
                <w:sz w:val="20"/>
                <w:szCs w:val="20"/>
              </w:rPr>
            </w:pPr>
            <w:r>
              <w:rPr>
                <w:sz w:val="20"/>
                <w:szCs w:val="20"/>
              </w:rPr>
              <w:t xml:space="preserve">90.00-138.00 </w:t>
            </w:r>
          </w:p>
          <w:p w:rsidR="000C465B" w:rsidRDefault="000C465B">
            <w:pPr>
              <w:pStyle w:val="Default"/>
              <w:rPr>
                <w:sz w:val="20"/>
                <w:szCs w:val="20"/>
              </w:rPr>
            </w:pPr>
            <w:r>
              <w:rPr>
                <w:sz w:val="20"/>
                <w:szCs w:val="20"/>
              </w:rPr>
              <w:t xml:space="preserve">114.31±13.27 </w:t>
            </w:r>
          </w:p>
        </w:tc>
        <w:tc>
          <w:tcPr>
            <w:tcW w:w="2340" w:type="dxa"/>
          </w:tcPr>
          <w:p w:rsidR="000C465B" w:rsidRDefault="000C465B">
            <w:pPr>
              <w:pStyle w:val="Default"/>
              <w:rPr>
                <w:sz w:val="20"/>
                <w:szCs w:val="20"/>
              </w:rPr>
            </w:pPr>
            <w:r>
              <w:rPr>
                <w:sz w:val="20"/>
                <w:szCs w:val="20"/>
              </w:rPr>
              <w:t xml:space="preserve">t=3.621 </w:t>
            </w:r>
          </w:p>
          <w:p w:rsidR="000C465B" w:rsidRDefault="000C465B">
            <w:pPr>
              <w:pStyle w:val="Default"/>
              <w:rPr>
                <w:sz w:val="20"/>
                <w:szCs w:val="20"/>
              </w:rPr>
            </w:pPr>
            <w:r>
              <w:rPr>
                <w:sz w:val="20"/>
                <w:szCs w:val="20"/>
              </w:rPr>
              <w:t xml:space="preserve">p=0.000* </w:t>
            </w:r>
          </w:p>
        </w:tc>
      </w:tr>
      <w:tr w:rsidR="000C465B">
        <w:tblPrEx>
          <w:tblCellMar>
            <w:top w:w="0" w:type="dxa"/>
            <w:bottom w:w="0" w:type="dxa"/>
          </w:tblCellMar>
        </w:tblPrEx>
        <w:trPr>
          <w:trHeight w:val="315"/>
        </w:trPr>
        <w:tc>
          <w:tcPr>
            <w:tcW w:w="2340" w:type="dxa"/>
          </w:tcPr>
          <w:p w:rsidR="000C465B" w:rsidRDefault="000C465B">
            <w:pPr>
              <w:pStyle w:val="Default"/>
              <w:rPr>
                <w:sz w:val="20"/>
                <w:szCs w:val="20"/>
              </w:rPr>
            </w:pPr>
            <w:r>
              <w:rPr>
                <w:b/>
                <w:bCs/>
                <w:i/>
                <w:iCs/>
                <w:sz w:val="20"/>
                <w:szCs w:val="20"/>
              </w:rPr>
              <w:t xml:space="preserve">2-hour PPBG (mg/dl) </w:t>
            </w:r>
          </w:p>
          <w:p w:rsidR="000C465B" w:rsidRDefault="000C465B">
            <w:pPr>
              <w:pStyle w:val="Default"/>
              <w:rPr>
                <w:sz w:val="20"/>
                <w:szCs w:val="20"/>
              </w:rPr>
            </w:pPr>
            <w:r>
              <w:rPr>
                <w:sz w:val="20"/>
                <w:szCs w:val="20"/>
              </w:rPr>
              <w:t xml:space="preserve">Minimum-Maximum </w:t>
            </w:r>
          </w:p>
          <w:p w:rsidR="000C465B" w:rsidRDefault="000C465B">
            <w:pPr>
              <w:pStyle w:val="Default"/>
              <w:rPr>
                <w:sz w:val="20"/>
                <w:szCs w:val="20"/>
              </w:rPr>
            </w:pPr>
            <w:r>
              <w:rPr>
                <w:sz w:val="20"/>
                <w:szCs w:val="20"/>
              </w:rPr>
              <w:t xml:space="preserve">Mean ± S.D. </w:t>
            </w:r>
          </w:p>
        </w:tc>
        <w:tc>
          <w:tcPr>
            <w:tcW w:w="2340" w:type="dxa"/>
            <w:gridSpan w:val="2"/>
          </w:tcPr>
          <w:p w:rsidR="000C465B" w:rsidRDefault="000C465B">
            <w:pPr>
              <w:pStyle w:val="Default"/>
              <w:rPr>
                <w:sz w:val="20"/>
                <w:szCs w:val="20"/>
              </w:rPr>
            </w:pPr>
            <w:r>
              <w:rPr>
                <w:sz w:val="20"/>
                <w:szCs w:val="20"/>
              </w:rPr>
              <w:t xml:space="preserve">85.00-125.00 </w:t>
            </w:r>
          </w:p>
          <w:p w:rsidR="000C465B" w:rsidRDefault="000C465B">
            <w:pPr>
              <w:pStyle w:val="Default"/>
              <w:rPr>
                <w:sz w:val="20"/>
                <w:szCs w:val="20"/>
              </w:rPr>
            </w:pPr>
            <w:r>
              <w:rPr>
                <w:sz w:val="20"/>
                <w:szCs w:val="20"/>
              </w:rPr>
              <w:t xml:space="preserve">95.86±6.73 </w:t>
            </w:r>
          </w:p>
        </w:tc>
        <w:tc>
          <w:tcPr>
            <w:tcW w:w="2340" w:type="dxa"/>
            <w:gridSpan w:val="2"/>
          </w:tcPr>
          <w:p w:rsidR="000C465B" w:rsidRDefault="000C465B">
            <w:pPr>
              <w:pStyle w:val="Default"/>
              <w:rPr>
                <w:sz w:val="20"/>
                <w:szCs w:val="20"/>
              </w:rPr>
            </w:pPr>
            <w:r>
              <w:rPr>
                <w:sz w:val="20"/>
                <w:szCs w:val="20"/>
              </w:rPr>
              <w:t xml:space="preserve">85.00-116.00 </w:t>
            </w:r>
          </w:p>
          <w:p w:rsidR="000C465B" w:rsidRDefault="000C465B">
            <w:pPr>
              <w:pStyle w:val="Default"/>
              <w:rPr>
                <w:sz w:val="20"/>
                <w:szCs w:val="20"/>
              </w:rPr>
            </w:pPr>
            <w:r>
              <w:rPr>
                <w:sz w:val="20"/>
                <w:szCs w:val="20"/>
              </w:rPr>
              <w:t xml:space="preserve">97.09±7.36 </w:t>
            </w:r>
          </w:p>
        </w:tc>
        <w:tc>
          <w:tcPr>
            <w:tcW w:w="2340" w:type="dxa"/>
          </w:tcPr>
          <w:p w:rsidR="000C465B" w:rsidRDefault="000C465B">
            <w:pPr>
              <w:pStyle w:val="Default"/>
              <w:rPr>
                <w:sz w:val="20"/>
                <w:szCs w:val="20"/>
              </w:rPr>
            </w:pPr>
            <w:r>
              <w:rPr>
                <w:sz w:val="20"/>
                <w:szCs w:val="20"/>
              </w:rPr>
              <w:t xml:space="preserve">t=1.233 </w:t>
            </w:r>
          </w:p>
          <w:p w:rsidR="000C465B" w:rsidRDefault="000C465B">
            <w:pPr>
              <w:pStyle w:val="Default"/>
              <w:rPr>
                <w:sz w:val="20"/>
                <w:szCs w:val="20"/>
              </w:rPr>
            </w:pPr>
            <w:r>
              <w:rPr>
                <w:sz w:val="20"/>
                <w:szCs w:val="20"/>
              </w:rPr>
              <w:t xml:space="preserve">p=0.219 NS </w:t>
            </w:r>
          </w:p>
        </w:tc>
      </w:tr>
      <w:tr w:rsidR="000C465B">
        <w:tblPrEx>
          <w:tblCellMar>
            <w:top w:w="0" w:type="dxa"/>
            <w:bottom w:w="0" w:type="dxa"/>
          </w:tblCellMar>
        </w:tblPrEx>
        <w:trPr>
          <w:trHeight w:val="315"/>
        </w:trPr>
        <w:tc>
          <w:tcPr>
            <w:tcW w:w="2340" w:type="dxa"/>
          </w:tcPr>
          <w:p w:rsidR="000C465B" w:rsidRDefault="000C465B">
            <w:pPr>
              <w:pStyle w:val="Default"/>
              <w:rPr>
                <w:sz w:val="20"/>
                <w:szCs w:val="20"/>
              </w:rPr>
            </w:pPr>
            <w:r>
              <w:rPr>
                <w:b/>
                <w:bCs/>
                <w:i/>
                <w:iCs/>
                <w:sz w:val="20"/>
                <w:szCs w:val="20"/>
              </w:rPr>
              <w:t xml:space="preserve">Fasting insulin </w:t>
            </w:r>
          </w:p>
          <w:p w:rsidR="000C465B" w:rsidRDefault="000C465B">
            <w:pPr>
              <w:pStyle w:val="Default"/>
              <w:rPr>
                <w:sz w:val="20"/>
                <w:szCs w:val="20"/>
              </w:rPr>
            </w:pPr>
            <w:r>
              <w:rPr>
                <w:sz w:val="20"/>
                <w:szCs w:val="20"/>
              </w:rPr>
              <w:t xml:space="preserve">Minimum-Maximum </w:t>
            </w:r>
          </w:p>
          <w:p w:rsidR="000C465B" w:rsidRDefault="000C465B">
            <w:pPr>
              <w:pStyle w:val="Default"/>
              <w:rPr>
                <w:sz w:val="20"/>
                <w:szCs w:val="20"/>
              </w:rPr>
            </w:pPr>
            <w:r>
              <w:rPr>
                <w:sz w:val="20"/>
                <w:szCs w:val="20"/>
              </w:rPr>
              <w:t xml:space="preserve">Mean ± S.D. </w:t>
            </w:r>
          </w:p>
        </w:tc>
        <w:tc>
          <w:tcPr>
            <w:tcW w:w="2340" w:type="dxa"/>
            <w:gridSpan w:val="2"/>
          </w:tcPr>
          <w:p w:rsidR="000C465B" w:rsidRDefault="000C465B">
            <w:pPr>
              <w:pStyle w:val="Default"/>
              <w:rPr>
                <w:sz w:val="20"/>
                <w:szCs w:val="20"/>
              </w:rPr>
            </w:pPr>
            <w:r>
              <w:rPr>
                <w:sz w:val="20"/>
                <w:szCs w:val="20"/>
              </w:rPr>
              <w:t xml:space="preserve">6.90-9.00 </w:t>
            </w:r>
          </w:p>
          <w:p w:rsidR="000C465B" w:rsidRDefault="000C465B">
            <w:pPr>
              <w:pStyle w:val="Default"/>
              <w:rPr>
                <w:sz w:val="20"/>
                <w:szCs w:val="20"/>
              </w:rPr>
            </w:pPr>
            <w:r>
              <w:rPr>
                <w:sz w:val="20"/>
                <w:szCs w:val="20"/>
              </w:rPr>
              <w:t xml:space="preserve">8.10±0.59 </w:t>
            </w:r>
          </w:p>
        </w:tc>
        <w:tc>
          <w:tcPr>
            <w:tcW w:w="2340" w:type="dxa"/>
            <w:gridSpan w:val="2"/>
          </w:tcPr>
          <w:p w:rsidR="000C465B" w:rsidRDefault="000C465B">
            <w:pPr>
              <w:pStyle w:val="Default"/>
              <w:rPr>
                <w:sz w:val="20"/>
                <w:szCs w:val="20"/>
              </w:rPr>
            </w:pPr>
            <w:r>
              <w:rPr>
                <w:sz w:val="20"/>
                <w:szCs w:val="20"/>
              </w:rPr>
              <w:t xml:space="preserve">5.90-9.00 </w:t>
            </w:r>
          </w:p>
          <w:p w:rsidR="000C465B" w:rsidRDefault="000C465B">
            <w:pPr>
              <w:pStyle w:val="Default"/>
              <w:rPr>
                <w:sz w:val="20"/>
                <w:szCs w:val="20"/>
              </w:rPr>
            </w:pPr>
            <w:r>
              <w:rPr>
                <w:sz w:val="20"/>
                <w:szCs w:val="20"/>
              </w:rPr>
              <w:t xml:space="preserve">7.99±0.75 </w:t>
            </w:r>
          </w:p>
        </w:tc>
        <w:tc>
          <w:tcPr>
            <w:tcW w:w="2340" w:type="dxa"/>
          </w:tcPr>
          <w:p w:rsidR="000C465B" w:rsidRDefault="000C465B">
            <w:pPr>
              <w:pStyle w:val="Default"/>
              <w:rPr>
                <w:sz w:val="20"/>
                <w:szCs w:val="20"/>
              </w:rPr>
            </w:pPr>
            <w:r>
              <w:rPr>
                <w:sz w:val="20"/>
                <w:szCs w:val="20"/>
              </w:rPr>
              <w:t xml:space="preserve">t=1.130 </w:t>
            </w:r>
          </w:p>
          <w:p w:rsidR="000C465B" w:rsidRDefault="000C465B">
            <w:pPr>
              <w:pStyle w:val="Default"/>
              <w:rPr>
                <w:sz w:val="20"/>
                <w:szCs w:val="20"/>
              </w:rPr>
            </w:pPr>
            <w:r>
              <w:rPr>
                <w:sz w:val="20"/>
                <w:szCs w:val="20"/>
              </w:rPr>
              <w:t xml:space="preserve">p=0.260 NS </w:t>
            </w:r>
          </w:p>
        </w:tc>
      </w:tr>
      <w:tr w:rsidR="000C465B">
        <w:tblPrEx>
          <w:tblCellMar>
            <w:top w:w="0" w:type="dxa"/>
            <w:bottom w:w="0" w:type="dxa"/>
          </w:tblCellMar>
        </w:tblPrEx>
        <w:trPr>
          <w:trHeight w:val="316"/>
        </w:trPr>
        <w:tc>
          <w:tcPr>
            <w:tcW w:w="2340" w:type="dxa"/>
          </w:tcPr>
          <w:p w:rsidR="000C465B" w:rsidRDefault="000C465B">
            <w:pPr>
              <w:pStyle w:val="Default"/>
              <w:rPr>
                <w:sz w:val="20"/>
                <w:szCs w:val="20"/>
              </w:rPr>
            </w:pPr>
            <w:r>
              <w:rPr>
                <w:b/>
                <w:bCs/>
                <w:i/>
                <w:iCs/>
                <w:sz w:val="20"/>
                <w:szCs w:val="20"/>
              </w:rPr>
              <w:t xml:space="preserve">HbA1C (%) </w:t>
            </w:r>
          </w:p>
          <w:p w:rsidR="000C465B" w:rsidRDefault="000C465B">
            <w:pPr>
              <w:pStyle w:val="Default"/>
              <w:rPr>
                <w:sz w:val="20"/>
                <w:szCs w:val="20"/>
              </w:rPr>
            </w:pPr>
            <w:r>
              <w:rPr>
                <w:sz w:val="20"/>
                <w:szCs w:val="20"/>
              </w:rPr>
              <w:t xml:space="preserve">Minimum-Maximum </w:t>
            </w:r>
          </w:p>
          <w:p w:rsidR="000C465B" w:rsidRDefault="000C465B">
            <w:pPr>
              <w:pStyle w:val="Default"/>
              <w:rPr>
                <w:sz w:val="20"/>
                <w:szCs w:val="20"/>
              </w:rPr>
            </w:pPr>
            <w:r>
              <w:rPr>
                <w:sz w:val="20"/>
                <w:szCs w:val="20"/>
              </w:rPr>
              <w:t xml:space="preserve">Mean ± S.D. </w:t>
            </w:r>
          </w:p>
        </w:tc>
        <w:tc>
          <w:tcPr>
            <w:tcW w:w="2340" w:type="dxa"/>
            <w:gridSpan w:val="2"/>
          </w:tcPr>
          <w:p w:rsidR="000C465B" w:rsidRDefault="000C465B">
            <w:pPr>
              <w:pStyle w:val="Default"/>
              <w:rPr>
                <w:sz w:val="20"/>
                <w:szCs w:val="20"/>
              </w:rPr>
            </w:pPr>
            <w:r>
              <w:rPr>
                <w:sz w:val="20"/>
                <w:szCs w:val="20"/>
              </w:rPr>
              <w:t xml:space="preserve">5.90-8.70 </w:t>
            </w:r>
          </w:p>
          <w:p w:rsidR="000C465B" w:rsidRDefault="000C465B">
            <w:pPr>
              <w:pStyle w:val="Default"/>
              <w:rPr>
                <w:sz w:val="20"/>
                <w:szCs w:val="20"/>
              </w:rPr>
            </w:pPr>
            <w:r>
              <w:rPr>
                <w:sz w:val="20"/>
                <w:szCs w:val="20"/>
              </w:rPr>
              <w:t xml:space="preserve">7.28±0.77 </w:t>
            </w:r>
          </w:p>
        </w:tc>
        <w:tc>
          <w:tcPr>
            <w:tcW w:w="2340" w:type="dxa"/>
            <w:gridSpan w:val="2"/>
          </w:tcPr>
          <w:p w:rsidR="000C465B" w:rsidRDefault="000C465B">
            <w:pPr>
              <w:pStyle w:val="Default"/>
              <w:rPr>
                <w:sz w:val="20"/>
                <w:szCs w:val="20"/>
              </w:rPr>
            </w:pPr>
            <w:r>
              <w:rPr>
                <w:sz w:val="20"/>
                <w:szCs w:val="20"/>
              </w:rPr>
              <w:t xml:space="preserve">5.30-8.70 </w:t>
            </w:r>
          </w:p>
          <w:p w:rsidR="000C465B" w:rsidRDefault="000C465B">
            <w:pPr>
              <w:pStyle w:val="Default"/>
              <w:rPr>
                <w:sz w:val="20"/>
                <w:szCs w:val="20"/>
              </w:rPr>
            </w:pPr>
            <w:r>
              <w:rPr>
                <w:sz w:val="20"/>
                <w:szCs w:val="20"/>
              </w:rPr>
              <w:t xml:space="preserve">7.16±0.91 </w:t>
            </w:r>
          </w:p>
        </w:tc>
        <w:tc>
          <w:tcPr>
            <w:tcW w:w="2340" w:type="dxa"/>
          </w:tcPr>
          <w:p w:rsidR="000C465B" w:rsidRDefault="000C465B">
            <w:pPr>
              <w:pStyle w:val="Default"/>
              <w:rPr>
                <w:sz w:val="20"/>
                <w:szCs w:val="20"/>
              </w:rPr>
            </w:pPr>
            <w:r>
              <w:rPr>
                <w:sz w:val="20"/>
                <w:szCs w:val="20"/>
              </w:rPr>
              <w:t xml:space="preserve">t=0.995 </w:t>
            </w:r>
          </w:p>
          <w:p w:rsidR="000C465B" w:rsidRDefault="000C465B">
            <w:pPr>
              <w:pStyle w:val="Default"/>
              <w:rPr>
                <w:sz w:val="20"/>
                <w:szCs w:val="20"/>
              </w:rPr>
            </w:pPr>
            <w:r>
              <w:rPr>
                <w:sz w:val="20"/>
                <w:szCs w:val="20"/>
              </w:rPr>
              <w:t xml:space="preserve">p=0.321 </w:t>
            </w:r>
          </w:p>
        </w:tc>
      </w:tr>
    </w:tbl>
    <w:p w:rsidR="000C465B" w:rsidRDefault="000C465B" w:rsidP="00064EAC">
      <w:pPr>
        <w:jc w:val="right"/>
        <w:rPr>
          <w:sz w:val="20"/>
          <w:szCs w:val="20"/>
        </w:rPr>
      </w:pPr>
    </w:p>
    <w:p w:rsidR="000C465B" w:rsidRDefault="000C465B" w:rsidP="00064EAC">
      <w:pPr>
        <w:jc w:val="right"/>
        <w:rPr>
          <w:sz w:val="20"/>
          <w:szCs w:val="20"/>
        </w:rPr>
      </w:pPr>
    </w:p>
    <w:p w:rsidR="000C465B" w:rsidRDefault="000C465B" w:rsidP="00064EAC">
      <w:pPr>
        <w:jc w:val="right"/>
        <w:rPr>
          <w:rFonts w:hint="cs"/>
          <w:rtl/>
          <w:lang w:bidi="ar-EG"/>
        </w:rPr>
      </w:pPr>
    </w:p>
    <w:sectPr w:rsidR="000C465B" w:rsidSect="0054153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altName w:val="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CC3"/>
    <w:rsid w:val="00064EAC"/>
    <w:rsid w:val="000C465B"/>
    <w:rsid w:val="004D0633"/>
    <w:rsid w:val="00541536"/>
    <w:rsid w:val="00595CC3"/>
    <w:rsid w:val="00AC0BCD"/>
    <w:rsid w:val="00B46C8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4EAC"/>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4EA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1613</Words>
  <Characters>9197</Characters>
  <Application>Microsoft Office Word</Application>
  <DocSecurity>0</DocSecurity>
  <Lines>76</Lines>
  <Paragraphs>21</Paragraphs>
  <ScaleCrop>false</ScaleCrop>
  <Company>Toshiba</Company>
  <LinksUpToDate>false</LinksUpToDate>
  <CharactersWithSpaces>10789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Eman</dc:creator>
  <cp:keywords/>
  <dc:description/>
  <cp:lastModifiedBy>Eman</cp:lastModifiedBy>
  <cp:revision>3</cp:revision>
  <dcterms:created xsi:type="dcterms:W3CDTF">2017-01-24T23:08:00Z</dcterms:created>
  <dcterms:modified xsi:type="dcterms:W3CDTF">2017-01-24T23:15:00Z</dcterms:modified>
</cp:coreProperties>
</file>