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09DA" w:rsidRDefault="004A09DA" w:rsidP="004A09DA">
      <w:pPr>
        <w:bidi w:val="0"/>
        <w:spacing w:after="200" w:line="240" w:lineRule="auto"/>
        <w:jc w:val="center"/>
        <w:rPr>
          <w:rFonts w:asciiTheme="majorBidi" w:hAnsiTheme="majorBidi" w:cstheme="majorBidi"/>
          <w:b/>
          <w:bCs/>
          <w:sz w:val="32"/>
          <w:szCs w:val="32"/>
        </w:rPr>
      </w:pPr>
      <w:bookmarkStart w:id="0" w:name="_GoBack"/>
      <w:bookmarkEnd w:id="0"/>
      <w:r>
        <w:rPr>
          <w:rFonts w:asciiTheme="majorBidi" w:hAnsiTheme="majorBidi" w:cstheme="majorBidi"/>
          <w:b/>
          <w:bCs/>
          <w:sz w:val="32"/>
          <w:szCs w:val="32"/>
        </w:rPr>
        <w:t>The association between blood type group and early postpartum hemorrhage</w:t>
      </w:r>
    </w:p>
    <w:p w:rsidR="004A09DA" w:rsidRDefault="004A09DA" w:rsidP="004A09DA">
      <w:pPr>
        <w:bidi w:val="0"/>
        <w:spacing w:after="200" w:line="240" w:lineRule="auto"/>
        <w:jc w:val="center"/>
        <w:rPr>
          <w:rFonts w:asciiTheme="majorBidi" w:hAnsiTheme="majorBidi" w:cstheme="majorBidi"/>
          <w:b/>
          <w:bCs/>
          <w:sz w:val="32"/>
          <w:szCs w:val="32"/>
        </w:rPr>
      </w:pPr>
    </w:p>
    <w:p w:rsidR="004A09DA" w:rsidRDefault="004A09DA" w:rsidP="004A09DA">
      <w:pPr>
        <w:bidi w:val="0"/>
        <w:spacing w:after="200" w:line="240" w:lineRule="auto"/>
        <w:rPr>
          <w:rFonts w:asciiTheme="majorBidi" w:hAnsiTheme="majorBidi" w:cstheme="majorBidi"/>
          <w:b/>
          <w:bCs/>
          <w:sz w:val="28"/>
          <w:szCs w:val="28"/>
        </w:rPr>
      </w:pPr>
    </w:p>
    <w:p w:rsidR="004A09DA" w:rsidRDefault="004A09DA" w:rsidP="004A09DA">
      <w:pPr>
        <w:bidi w:val="0"/>
        <w:spacing w:after="200" w:line="240" w:lineRule="auto"/>
        <w:rPr>
          <w:rFonts w:asciiTheme="majorBidi" w:hAnsiTheme="majorBidi" w:cstheme="majorBidi"/>
          <w:b/>
          <w:bCs/>
          <w:sz w:val="28"/>
          <w:szCs w:val="28"/>
        </w:rPr>
      </w:pPr>
    </w:p>
    <w:p w:rsidR="004A09DA" w:rsidRDefault="004A09DA" w:rsidP="004A09DA">
      <w:pPr>
        <w:bidi w:val="0"/>
        <w:spacing w:after="200" w:line="240" w:lineRule="auto"/>
        <w:rPr>
          <w:rFonts w:asciiTheme="majorBidi" w:hAnsiTheme="majorBidi" w:cstheme="majorBidi"/>
          <w:b/>
          <w:bCs/>
          <w:sz w:val="28"/>
          <w:szCs w:val="28"/>
        </w:rPr>
      </w:pPr>
    </w:p>
    <w:p w:rsidR="004A09DA" w:rsidRDefault="004A09DA" w:rsidP="004A09DA">
      <w:pPr>
        <w:bidi w:val="0"/>
        <w:spacing w:after="200" w:line="240" w:lineRule="auto"/>
        <w:jc w:val="center"/>
        <w:rPr>
          <w:rFonts w:asciiTheme="majorBidi" w:hAnsiTheme="majorBidi" w:cstheme="majorBidi"/>
          <w:b/>
          <w:bCs/>
          <w:sz w:val="28"/>
          <w:szCs w:val="28"/>
        </w:rPr>
      </w:pPr>
    </w:p>
    <w:p w:rsidR="004A09DA" w:rsidRDefault="004A09DA" w:rsidP="004A09DA">
      <w:pPr>
        <w:bidi w:val="0"/>
        <w:spacing w:after="200" w:line="240" w:lineRule="auto"/>
        <w:jc w:val="center"/>
        <w:rPr>
          <w:rFonts w:asciiTheme="majorBidi" w:hAnsiTheme="majorBidi" w:cstheme="majorBidi"/>
          <w:b/>
          <w:bCs/>
          <w:sz w:val="28"/>
          <w:szCs w:val="28"/>
        </w:rPr>
      </w:pPr>
    </w:p>
    <w:p w:rsidR="004A09DA" w:rsidRDefault="004A09DA" w:rsidP="004A09DA">
      <w:pPr>
        <w:bidi w:val="0"/>
        <w:spacing w:after="200" w:line="240" w:lineRule="auto"/>
        <w:jc w:val="center"/>
        <w:rPr>
          <w:rFonts w:asciiTheme="majorBidi" w:hAnsiTheme="majorBidi" w:cstheme="majorBidi"/>
          <w:b/>
          <w:bCs/>
          <w:sz w:val="28"/>
          <w:szCs w:val="28"/>
        </w:rPr>
      </w:pPr>
    </w:p>
    <w:p w:rsidR="004A09DA" w:rsidRDefault="004A09DA" w:rsidP="004A09DA">
      <w:pPr>
        <w:bidi w:val="0"/>
        <w:spacing w:after="200" w:line="240" w:lineRule="auto"/>
        <w:jc w:val="center"/>
        <w:rPr>
          <w:rFonts w:asciiTheme="majorBidi" w:hAnsiTheme="majorBidi" w:cstheme="majorBidi"/>
          <w:b/>
          <w:bCs/>
          <w:sz w:val="28"/>
          <w:szCs w:val="28"/>
        </w:rPr>
      </w:pPr>
    </w:p>
    <w:p w:rsidR="004A09DA" w:rsidRDefault="004A09DA" w:rsidP="004A09DA">
      <w:pPr>
        <w:bidi w:val="0"/>
        <w:spacing w:after="200" w:line="240" w:lineRule="auto"/>
        <w:jc w:val="center"/>
        <w:rPr>
          <w:rFonts w:asciiTheme="majorBidi" w:hAnsiTheme="majorBidi" w:cstheme="majorBidi"/>
          <w:b/>
          <w:bCs/>
          <w:sz w:val="28"/>
          <w:szCs w:val="28"/>
        </w:rPr>
      </w:pPr>
    </w:p>
    <w:p w:rsidR="004A09DA" w:rsidRDefault="004A09DA" w:rsidP="004A09DA">
      <w:pPr>
        <w:bidi w:val="0"/>
        <w:spacing w:after="200" w:line="240" w:lineRule="auto"/>
        <w:jc w:val="center"/>
        <w:rPr>
          <w:rFonts w:asciiTheme="majorBidi" w:hAnsiTheme="majorBidi" w:cstheme="majorBidi"/>
          <w:b/>
          <w:bCs/>
          <w:sz w:val="28"/>
          <w:szCs w:val="28"/>
        </w:rPr>
      </w:pPr>
    </w:p>
    <w:p w:rsidR="004A09DA" w:rsidRDefault="004A09DA" w:rsidP="004A09DA">
      <w:pPr>
        <w:bidi w:val="0"/>
        <w:spacing w:after="200" w:line="240" w:lineRule="auto"/>
        <w:jc w:val="center"/>
        <w:rPr>
          <w:rFonts w:asciiTheme="majorBidi" w:hAnsiTheme="majorBidi" w:cstheme="majorBidi"/>
          <w:b/>
          <w:bCs/>
          <w:sz w:val="28"/>
          <w:szCs w:val="28"/>
        </w:rPr>
      </w:pPr>
    </w:p>
    <w:p w:rsidR="004A09DA" w:rsidRDefault="004A09DA" w:rsidP="004A09DA">
      <w:pPr>
        <w:bidi w:val="0"/>
        <w:spacing w:after="200" w:line="240" w:lineRule="auto"/>
        <w:jc w:val="center"/>
        <w:rPr>
          <w:rFonts w:asciiTheme="majorBidi" w:hAnsiTheme="majorBidi" w:cstheme="majorBidi"/>
          <w:b/>
          <w:bCs/>
          <w:sz w:val="28"/>
          <w:szCs w:val="28"/>
        </w:rPr>
      </w:pPr>
    </w:p>
    <w:p w:rsidR="004A09DA" w:rsidRDefault="004A09DA" w:rsidP="004A09DA">
      <w:pPr>
        <w:bidi w:val="0"/>
        <w:spacing w:after="200" w:line="240" w:lineRule="auto"/>
        <w:jc w:val="center"/>
        <w:rPr>
          <w:rFonts w:asciiTheme="majorBidi" w:hAnsiTheme="majorBidi" w:cstheme="majorBidi"/>
          <w:b/>
          <w:bCs/>
          <w:sz w:val="28"/>
          <w:szCs w:val="28"/>
        </w:rPr>
      </w:pPr>
    </w:p>
    <w:p w:rsidR="004A09DA" w:rsidRDefault="004A09DA" w:rsidP="004A09DA">
      <w:pPr>
        <w:bidi w:val="0"/>
        <w:spacing w:after="200" w:line="240" w:lineRule="auto"/>
        <w:jc w:val="center"/>
        <w:rPr>
          <w:rFonts w:asciiTheme="majorBidi" w:hAnsiTheme="majorBidi" w:cstheme="majorBidi"/>
          <w:b/>
          <w:bCs/>
          <w:sz w:val="28"/>
          <w:szCs w:val="28"/>
        </w:rPr>
      </w:pPr>
      <w:proofErr w:type="spellStart"/>
      <w:r>
        <w:rPr>
          <w:rFonts w:asciiTheme="majorBidi" w:hAnsiTheme="majorBidi" w:cstheme="majorBidi"/>
          <w:b/>
          <w:bCs/>
          <w:sz w:val="28"/>
          <w:szCs w:val="28"/>
        </w:rPr>
        <w:t>Mais</w:t>
      </w:r>
      <w:proofErr w:type="spellEnd"/>
      <w:r>
        <w:rPr>
          <w:rFonts w:asciiTheme="majorBidi" w:hAnsiTheme="majorBidi" w:cstheme="majorBidi"/>
          <w:b/>
          <w:bCs/>
          <w:sz w:val="28"/>
          <w:szCs w:val="28"/>
        </w:rPr>
        <w:t xml:space="preserve"> Ali-Saleh</w:t>
      </w:r>
    </w:p>
    <w:p w:rsidR="004A09DA" w:rsidRDefault="004A09DA" w:rsidP="004A09DA">
      <w:pPr>
        <w:bidi w:val="0"/>
        <w:spacing w:after="200" w:line="240" w:lineRule="auto"/>
        <w:jc w:val="center"/>
        <w:rPr>
          <w:rFonts w:asciiTheme="majorBidi" w:hAnsiTheme="majorBidi" w:cstheme="majorBidi"/>
          <w:b/>
          <w:bCs/>
          <w:sz w:val="28"/>
          <w:szCs w:val="28"/>
        </w:rPr>
      </w:pPr>
      <w:proofErr w:type="spellStart"/>
      <w:r>
        <w:rPr>
          <w:rFonts w:asciiTheme="majorBidi" w:hAnsiTheme="majorBidi" w:cstheme="majorBidi"/>
          <w:b/>
          <w:bCs/>
          <w:sz w:val="28"/>
          <w:szCs w:val="28"/>
        </w:rPr>
        <w:t>Yoram</w:t>
      </w:r>
      <w:proofErr w:type="spellEnd"/>
      <w:r>
        <w:rPr>
          <w:rFonts w:asciiTheme="majorBidi" w:hAnsiTheme="majorBidi" w:cstheme="majorBidi"/>
          <w:b/>
          <w:bCs/>
          <w:sz w:val="28"/>
          <w:szCs w:val="28"/>
        </w:rPr>
        <w:t xml:space="preserve"> Abramov</w:t>
      </w:r>
    </w:p>
    <w:p w:rsidR="004A09DA" w:rsidRDefault="004A09DA" w:rsidP="004A09DA">
      <w:pPr>
        <w:bidi w:val="0"/>
        <w:spacing w:after="200" w:line="240" w:lineRule="auto"/>
        <w:jc w:val="center"/>
        <w:rPr>
          <w:rFonts w:asciiTheme="majorBidi" w:hAnsiTheme="majorBidi" w:cstheme="majorBidi"/>
          <w:color w:val="000000"/>
          <w:sz w:val="28"/>
          <w:szCs w:val="28"/>
        </w:rPr>
      </w:pPr>
      <w:r>
        <w:rPr>
          <w:rFonts w:asciiTheme="majorBidi" w:hAnsiTheme="majorBidi" w:cstheme="majorBidi"/>
          <w:color w:val="000000"/>
          <w:sz w:val="28"/>
          <w:szCs w:val="28"/>
        </w:rPr>
        <w:t xml:space="preserve">The Lady Davis Carmel Medical Center, </w:t>
      </w:r>
      <w:proofErr w:type="spellStart"/>
      <w:r>
        <w:rPr>
          <w:rFonts w:asciiTheme="majorBidi" w:hAnsiTheme="majorBidi" w:cstheme="majorBidi"/>
          <w:color w:val="000000"/>
          <w:sz w:val="28"/>
          <w:szCs w:val="28"/>
        </w:rPr>
        <w:t>Technion</w:t>
      </w:r>
      <w:proofErr w:type="spellEnd"/>
      <w:r>
        <w:rPr>
          <w:rFonts w:asciiTheme="majorBidi" w:hAnsiTheme="majorBidi" w:cstheme="majorBidi"/>
          <w:color w:val="000000"/>
          <w:sz w:val="28"/>
          <w:szCs w:val="28"/>
        </w:rPr>
        <w:t xml:space="preserve"> University, Rappaport Faculty of Medicine, Haifa, Israel.</w:t>
      </w:r>
    </w:p>
    <w:p w:rsidR="004A09DA" w:rsidRDefault="004A09DA" w:rsidP="004A09DA">
      <w:pPr>
        <w:bidi w:val="0"/>
        <w:spacing w:after="200" w:line="240" w:lineRule="auto"/>
        <w:jc w:val="center"/>
        <w:rPr>
          <w:rFonts w:asciiTheme="majorBidi" w:hAnsiTheme="majorBidi" w:cstheme="majorBidi"/>
          <w:sz w:val="28"/>
          <w:szCs w:val="28"/>
        </w:rPr>
      </w:pPr>
      <w:r>
        <w:rPr>
          <w:rFonts w:asciiTheme="majorBidi" w:hAnsiTheme="majorBidi" w:cstheme="majorBidi"/>
          <w:sz w:val="28"/>
          <w:szCs w:val="28"/>
        </w:rPr>
        <w:t>March 18</w:t>
      </w:r>
    </w:p>
    <w:p w:rsidR="004A09DA" w:rsidRDefault="004A09DA" w:rsidP="004A09DA">
      <w:pPr>
        <w:bidi w:val="0"/>
        <w:spacing w:after="200" w:line="240" w:lineRule="auto"/>
        <w:rPr>
          <w:rFonts w:asciiTheme="majorBidi" w:hAnsiTheme="majorBidi" w:cstheme="majorBidi"/>
          <w:b/>
          <w:bCs/>
          <w:sz w:val="28"/>
          <w:szCs w:val="28"/>
          <w:rtl/>
        </w:rPr>
      </w:pPr>
    </w:p>
    <w:p w:rsidR="004A09DA" w:rsidRDefault="004A09DA" w:rsidP="004A09DA">
      <w:pPr>
        <w:bidi w:val="0"/>
        <w:spacing w:after="200" w:line="240" w:lineRule="auto"/>
        <w:rPr>
          <w:rFonts w:asciiTheme="majorBidi" w:hAnsiTheme="majorBidi" w:cstheme="majorBidi"/>
          <w:b/>
          <w:bCs/>
          <w:sz w:val="28"/>
          <w:szCs w:val="28"/>
          <w:rtl/>
        </w:rPr>
      </w:pPr>
    </w:p>
    <w:p w:rsidR="004A09DA" w:rsidRDefault="004A09DA" w:rsidP="004A09DA">
      <w:pPr>
        <w:bidi w:val="0"/>
        <w:spacing w:after="200" w:line="240" w:lineRule="auto"/>
        <w:rPr>
          <w:rFonts w:asciiTheme="majorBidi" w:hAnsiTheme="majorBidi" w:cstheme="majorBidi"/>
          <w:b/>
          <w:bCs/>
          <w:sz w:val="28"/>
          <w:szCs w:val="28"/>
          <w:rtl/>
        </w:rPr>
      </w:pPr>
    </w:p>
    <w:p w:rsidR="004A09DA" w:rsidRDefault="004A09DA" w:rsidP="004A09DA">
      <w:pPr>
        <w:bidi w:val="0"/>
        <w:spacing w:after="200" w:line="240" w:lineRule="auto"/>
        <w:rPr>
          <w:rFonts w:asciiTheme="majorBidi" w:hAnsiTheme="majorBidi" w:cstheme="majorBidi"/>
          <w:b/>
          <w:bCs/>
          <w:sz w:val="28"/>
          <w:szCs w:val="28"/>
          <w:rtl/>
        </w:rPr>
      </w:pPr>
    </w:p>
    <w:p w:rsidR="004A09DA" w:rsidRDefault="004A09DA" w:rsidP="004A09DA">
      <w:pPr>
        <w:bidi w:val="0"/>
        <w:spacing w:after="200" w:line="240" w:lineRule="auto"/>
        <w:rPr>
          <w:rFonts w:asciiTheme="majorBidi" w:hAnsiTheme="majorBidi" w:cstheme="majorBidi"/>
          <w:b/>
          <w:bCs/>
          <w:sz w:val="28"/>
          <w:szCs w:val="28"/>
          <w:rtl/>
        </w:rPr>
      </w:pPr>
    </w:p>
    <w:p w:rsidR="004A09DA" w:rsidRDefault="004A09DA" w:rsidP="004A09DA">
      <w:pPr>
        <w:bidi w:val="0"/>
        <w:spacing w:after="200" w:line="240" w:lineRule="auto"/>
        <w:rPr>
          <w:rFonts w:asciiTheme="majorBidi" w:hAnsiTheme="majorBidi" w:cstheme="majorBidi"/>
          <w:b/>
          <w:bCs/>
          <w:sz w:val="28"/>
          <w:szCs w:val="28"/>
          <w:rtl/>
        </w:rPr>
      </w:pPr>
    </w:p>
    <w:p w:rsidR="004A09DA" w:rsidRDefault="004A09DA" w:rsidP="004A09DA">
      <w:pPr>
        <w:bidi w:val="0"/>
        <w:spacing w:after="200" w:line="240" w:lineRule="auto"/>
        <w:rPr>
          <w:rFonts w:asciiTheme="majorBidi" w:hAnsiTheme="majorBidi" w:cstheme="majorBidi"/>
          <w:b/>
          <w:bCs/>
          <w:sz w:val="28"/>
          <w:szCs w:val="28"/>
          <w:rtl/>
        </w:rPr>
      </w:pPr>
    </w:p>
    <w:p w:rsidR="004A09DA" w:rsidRDefault="004A09DA" w:rsidP="004A09DA">
      <w:pPr>
        <w:bidi w:val="0"/>
        <w:spacing w:after="200" w:line="240" w:lineRule="auto"/>
        <w:rPr>
          <w:rFonts w:asciiTheme="majorBidi" w:hAnsiTheme="majorBidi" w:cstheme="majorBidi"/>
          <w:b/>
          <w:bCs/>
          <w:sz w:val="28"/>
          <w:szCs w:val="28"/>
        </w:rPr>
      </w:pPr>
      <w:r>
        <w:rPr>
          <w:rFonts w:asciiTheme="majorBidi" w:hAnsiTheme="majorBidi" w:cstheme="majorBidi"/>
          <w:b/>
          <w:bCs/>
          <w:sz w:val="28"/>
          <w:szCs w:val="28"/>
        </w:rPr>
        <w:lastRenderedPageBreak/>
        <w:t>Abstract</w:t>
      </w:r>
    </w:p>
    <w:p w:rsidR="004A09DA" w:rsidRDefault="004A09DA" w:rsidP="004A09DA">
      <w:pPr>
        <w:bidi w:val="0"/>
        <w:spacing w:after="200" w:line="480" w:lineRule="auto"/>
        <w:rPr>
          <w:rFonts w:asciiTheme="majorBidi" w:eastAsia="Times New Roman" w:hAnsiTheme="majorBidi" w:cstheme="majorBidi"/>
          <w:color w:val="222222"/>
          <w:sz w:val="24"/>
          <w:szCs w:val="24"/>
          <w:lang w:val="en"/>
        </w:rPr>
      </w:pPr>
      <w:r>
        <w:rPr>
          <w:rFonts w:asciiTheme="majorBidi" w:eastAsia="Times New Roman" w:hAnsiTheme="majorBidi" w:cstheme="majorBidi"/>
          <w:b/>
          <w:bCs/>
          <w:color w:val="222222"/>
          <w:sz w:val="24"/>
          <w:szCs w:val="24"/>
          <w:lang w:val="en"/>
        </w:rPr>
        <w:t>Background:</w:t>
      </w:r>
      <w:r>
        <w:rPr>
          <w:rFonts w:asciiTheme="majorBidi" w:eastAsia="Times New Roman" w:hAnsiTheme="majorBidi" w:cstheme="majorBidi"/>
          <w:color w:val="222222"/>
          <w:sz w:val="24"/>
          <w:szCs w:val="24"/>
          <w:lang w:val="en"/>
        </w:rPr>
        <w:t xml:space="preserve"> Early postpartum hemorrhage is the leading cause of maternal mortality. The most common cause of early postpartum hemorrhage is uterine atony, but coagulation disorders can also lead to heavy bleeding. Von </w:t>
      </w:r>
      <w:proofErr w:type="spellStart"/>
      <w:r>
        <w:rPr>
          <w:rFonts w:asciiTheme="majorBidi" w:eastAsia="Times New Roman" w:hAnsiTheme="majorBidi" w:cstheme="majorBidi"/>
          <w:color w:val="222222"/>
          <w:sz w:val="24"/>
          <w:szCs w:val="24"/>
          <w:lang w:val="en"/>
        </w:rPr>
        <w:t>Willebrand</w:t>
      </w:r>
      <w:proofErr w:type="spellEnd"/>
      <w:r>
        <w:rPr>
          <w:rFonts w:asciiTheme="majorBidi" w:eastAsia="Times New Roman" w:hAnsiTheme="majorBidi" w:cstheme="majorBidi"/>
          <w:color w:val="222222"/>
          <w:sz w:val="24"/>
          <w:szCs w:val="24"/>
          <w:lang w:val="en"/>
        </w:rPr>
        <w:t xml:space="preserve"> disease, for example, is a common inherited condition that arises from a deficiency in the quality or quantity of </w:t>
      </w:r>
      <w:hyperlink r:id="rId4" w:tooltip="Von Willebrand factor" w:history="1">
        <w:r>
          <w:rPr>
            <w:rStyle w:val="Hyperlink"/>
            <w:rFonts w:asciiTheme="majorBidi" w:eastAsia="Times New Roman" w:hAnsiTheme="majorBidi" w:cstheme="majorBidi"/>
            <w:color w:val="222222"/>
            <w:sz w:val="24"/>
            <w:szCs w:val="24"/>
            <w:u w:val="none"/>
            <w:lang w:val="en"/>
          </w:rPr>
          <w:t xml:space="preserve">Von </w:t>
        </w:r>
        <w:proofErr w:type="spellStart"/>
        <w:r>
          <w:rPr>
            <w:rStyle w:val="Hyperlink"/>
            <w:rFonts w:asciiTheme="majorBidi" w:eastAsia="Times New Roman" w:hAnsiTheme="majorBidi" w:cstheme="majorBidi"/>
            <w:color w:val="222222"/>
            <w:sz w:val="24"/>
            <w:szCs w:val="24"/>
            <w:u w:val="none"/>
            <w:lang w:val="en"/>
          </w:rPr>
          <w:t>Willebrand</w:t>
        </w:r>
        <w:proofErr w:type="spellEnd"/>
        <w:r>
          <w:rPr>
            <w:rStyle w:val="Hyperlink"/>
            <w:rFonts w:asciiTheme="majorBidi" w:eastAsia="Times New Roman" w:hAnsiTheme="majorBidi" w:cstheme="majorBidi"/>
            <w:color w:val="222222"/>
            <w:sz w:val="24"/>
            <w:szCs w:val="24"/>
            <w:u w:val="none"/>
            <w:lang w:val="en"/>
          </w:rPr>
          <w:t xml:space="preserve"> factor</w:t>
        </w:r>
      </w:hyperlink>
      <w:r>
        <w:rPr>
          <w:rFonts w:asciiTheme="majorBidi" w:eastAsia="Times New Roman" w:hAnsiTheme="majorBidi" w:cstheme="majorBidi"/>
          <w:color w:val="222222"/>
          <w:sz w:val="24"/>
          <w:szCs w:val="24"/>
          <w:lang w:val="en"/>
        </w:rPr>
        <w:t xml:space="preserve"> (VWF).Many studies have reported that ABO blood type system has an important effect on hemostasis, mainly by determining the level of VWF and indirectly determining the level of factor VIII in the blood. A, B and AB blood group individuals have VWF levels approximately 25-30% higher than O subjects. While a number of studies have analyzed the relationship between ABO blood groups and vascular thrombosis, only a few studies have been published on the association between ABO blood groups and hemorrhagic disorders. The aim of this study was</w:t>
      </w:r>
      <w:r>
        <w:rPr>
          <w:rFonts w:asciiTheme="majorBidi" w:hAnsiTheme="majorBidi" w:cstheme="majorBidi"/>
        </w:rPr>
        <w:t xml:space="preserve"> to explore whether blood type O is associated with an increased </w:t>
      </w:r>
      <w:r>
        <w:rPr>
          <w:rFonts w:asciiTheme="majorBidi" w:hAnsiTheme="majorBidi" w:cstheme="majorBidi"/>
          <w:sz w:val="24"/>
          <w:szCs w:val="24"/>
        </w:rPr>
        <w:t>risk for early postpartum hemorrhage compared to the other blood groups.</w:t>
      </w:r>
    </w:p>
    <w:p w:rsidR="004A09DA" w:rsidRDefault="004A09DA" w:rsidP="004A09DA">
      <w:pPr>
        <w:bidi w:val="0"/>
        <w:spacing w:after="200" w:line="480" w:lineRule="auto"/>
        <w:rPr>
          <w:rFonts w:asciiTheme="majorBidi" w:hAnsiTheme="majorBidi" w:cstheme="majorBidi"/>
          <w:color w:val="222222"/>
          <w:sz w:val="24"/>
          <w:szCs w:val="24"/>
          <w:rtl/>
        </w:rPr>
      </w:pPr>
      <w:r>
        <w:rPr>
          <w:rFonts w:asciiTheme="majorBidi" w:hAnsiTheme="majorBidi" w:cstheme="majorBidi"/>
          <w:b/>
          <w:bCs/>
          <w:color w:val="222222"/>
          <w:sz w:val="24"/>
          <w:szCs w:val="24"/>
        </w:rPr>
        <w:t>Methods:</w:t>
      </w:r>
      <w:r>
        <w:rPr>
          <w:rFonts w:asciiTheme="majorBidi" w:hAnsiTheme="majorBidi" w:cstheme="majorBidi"/>
          <w:color w:val="222222"/>
          <w:sz w:val="24"/>
          <w:szCs w:val="24"/>
        </w:rPr>
        <w:t xml:space="preserve"> Data were collected for women who gave birth at Carmel Medical Center in Haifa between December 1, 2014 and March 3, 2016. Women were categorized according to blood type as O and non-O blood groups. The study included women at the age of 20-45 who gave birth at 34-42 weeks of gestation. Women with known coagulation disorders, unknown blood type and intrauterine fetal death were all excluded. The primary outcomes were defined as early postpartum hemorrhage and blood transfusion. The comparison of categorical variables was done using the χ2 or Fischer exact test, whereas the comparison of the continuous variables was done using student's t-test or ANOVA. The relevant data were further processed using a stepwise logistic regression model. P &lt;0.05 values ​​ were considered statistically signiﬁcant.</w:t>
      </w:r>
    </w:p>
    <w:p w:rsidR="004A09DA" w:rsidRDefault="004A09DA" w:rsidP="004A09DA">
      <w:pPr>
        <w:bidi w:val="0"/>
        <w:spacing w:after="200" w:line="480" w:lineRule="auto"/>
        <w:rPr>
          <w:rFonts w:asciiTheme="majorBidi" w:hAnsiTheme="majorBidi" w:cstheme="majorBidi"/>
          <w:color w:val="222222"/>
          <w:sz w:val="24"/>
          <w:szCs w:val="24"/>
        </w:rPr>
      </w:pPr>
      <w:r>
        <w:rPr>
          <w:rFonts w:asciiTheme="majorBidi" w:hAnsiTheme="majorBidi" w:cstheme="majorBidi"/>
          <w:b/>
          <w:bCs/>
          <w:color w:val="222222"/>
          <w:sz w:val="24"/>
          <w:szCs w:val="24"/>
        </w:rPr>
        <w:lastRenderedPageBreak/>
        <w:t>Results:</w:t>
      </w:r>
      <w:r>
        <w:rPr>
          <w:rFonts w:asciiTheme="majorBidi" w:hAnsiTheme="majorBidi" w:cstheme="majorBidi"/>
          <w:color w:val="222222"/>
          <w:sz w:val="24"/>
          <w:szCs w:val="24"/>
        </w:rPr>
        <w:t xml:space="preserve"> 4,516 women were included in the study, of which 1,594 (35.3%) were found to have blood type O. After multivariate analysis, blood type of the parturient was not associated with an increased risk for early postpartum hemorrhage and/or with packed red cells transfusion (OR 1.25, 95% CI 0.847-1.84, P = 0.26). There was also no association between the Rh blood group (positive/ negative) and the risk for developing postpartum hemorrhage (OR 0.97, 95% CI 0.44-1.4, P = 0.422).</w:t>
      </w:r>
      <w:r>
        <w:rPr>
          <w:rFonts w:asciiTheme="majorBidi" w:hAnsiTheme="majorBidi" w:cstheme="majorBidi"/>
          <w:color w:val="222222"/>
          <w:sz w:val="24"/>
          <w:szCs w:val="24"/>
        </w:rPr>
        <w:br/>
      </w:r>
      <w:r>
        <w:rPr>
          <w:rFonts w:asciiTheme="majorBidi" w:hAnsiTheme="majorBidi" w:cstheme="majorBidi"/>
          <w:b/>
          <w:bCs/>
          <w:color w:val="222222"/>
          <w:sz w:val="24"/>
          <w:szCs w:val="24"/>
        </w:rPr>
        <w:t>Conclusions:</w:t>
      </w:r>
      <w:r>
        <w:rPr>
          <w:rFonts w:asciiTheme="majorBidi" w:hAnsiTheme="majorBidi" w:cstheme="majorBidi"/>
          <w:color w:val="222222"/>
          <w:sz w:val="24"/>
          <w:szCs w:val="24"/>
        </w:rPr>
        <w:t xml:space="preserve"> Blood type O is not associated with an increased risk for early postpartum hemorrhage or for blood transfusion.</w:t>
      </w:r>
    </w:p>
    <w:p w:rsidR="004A09DA" w:rsidRDefault="004A09DA" w:rsidP="004A09DA">
      <w:pPr>
        <w:bidi w:val="0"/>
        <w:spacing w:after="200" w:line="480" w:lineRule="auto"/>
        <w:rPr>
          <w:rFonts w:asciiTheme="majorBidi" w:hAnsiTheme="majorBidi" w:cstheme="majorBidi"/>
          <w:color w:val="222222"/>
          <w:sz w:val="24"/>
          <w:szCs w:val="24"/>
        </w:rPr>
      </w:pPr>
      <w:r>
        <w:rPr>
          <w:rFonts w:asciiTheme="majorBidi" w:hAnsiTheme="majorBidi" w:cstheme="majorBidi"/>
          <w:color w:val="222222"/>
          <w:sz w:val="24"/>
          <w:szCs w:val="24"/>
        </w:rPr>
        <w:t>Keywords: early postpartum hemorrhage, blood type, blood groups, birth, packed red blood cells transfusion.</w:t>
      </w:r>
    </w:p>
    <w:p w:rsidR="00BF642B" w:rsidRPr="004A09DA" w:rsidRDefault="00BF642B">
      <w:pPr>
        <w:rPr>
          <w:rFonts w:hint="cs"/>
        </w:rPr>
      </w:pPr>
    </w:p>
    <w:sectPr w:rsidR="00BF642B" w:rsidRPr="004A09DA" w:rsidSect="0039452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9DA"/>
    <w:rsid w:val="00394523"/>
    <w:rsid w:val="004A09DA"/>
    <w:rsid w:val="00B81788"/>
    <w:rsid w:val="00BF642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A03D7C-6F65-4C7E-AB81-515C7902A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09DA"/>
    <w:pPr>
      <w:bidi/>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4A09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4776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n.wikipedia.org/wiki/Von_Willebrand_factor"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486</Words>
  <Characters>2434</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2018-03-28T21:20:00Z</dcterms:created>
  <dcterms:modified xsi:type="dcterms:W3CDTF">2018-03-28T21:21:00Z</dcterms:modified>
</cp:coreProperties>
</file>