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182B" w:rsidRPr="00404D98" w:rsidRDefault="006E182B" w:rsidP="006E182B">
      <w:pPr>
        <w:spacing w:after="0" w:line="240" w:lineRule="auto"/>
        <w:rPr>
          <w:b/>
          <w:sz w:val="28"/>
          <w:szCs w:val="28"/>
          <w:lang w:val="en-US"/>
        </w:rPr>
      </w:pPr>
      <w:r w:rsidRPr="00404D98">
        <w:rPr>
          <w:b/>
          <w:sz w:val="28"/>
          <w:szCs w:val="28"/>
          <w:lang w:val="en-US"/>
        </w:rPr>
        <w:t>Efficacy and safety of vaginally administered lyophilized Lactobacillus crispatus IP 174178 in the prevention of</w:t>
      </w:r>
      <w:r>
        <w:rPr>
          <w:b/>
          <w:sz w:val="28"/>
          <w:szCs w:val="28"/>
          <w:lang w:val="en-US"/>
        </w:rPr>
        <w:t xml:space="preserve"> </w:t>
      </w:r>
      <w:r w:rsidR="0086067F">
        <w:rPr>
          <w:b/>
          <w:sz w:val="28"/>
          <w:szCs w:val="28"/>
          <w:lang w:val="en-US"/>
        </w:rPr>
        <w:t>bacterial vaginosis recurrence</w:t>
      </w:r>
      <w:bookmarkStart w:id="0" w:name="_GoBack"/>
      <w:bookmarkEnd w:id="0"/>
    </w:p>
    <w:p w:rsidR="00DC2684" w:rsidRDefault="00DC2684" w:rsidP="00DC2684">
      <w:pPr>
        <w:spacing w:after="0" w:line="240" w:lineRule="auto"/>
        <w:rPr>
          <w:rFonts w:asciiTheme="minorHAnsi" w:eastAsiaTheme="minorHAnsi" w:hAnsiTheme="minorHAnsi"/>
          <w:b/>
          <w:sz w:val="28"/>
          <w:szCs w:val="28"/>
        </w:rPr>
      </w:pPr>
    </w:p>
    <w:p w:rsidR="00DC2684" w:rsidRDefault="00DC2684" w:rsidP="00DC2684">
      <w:pPr>
        <w:rPr>
          <w:lang w:val="en-GB"/>
        </w:rPr>
      </w:pPr>
      <w:r w:rsidRPr="00A133A9">
        <w:rPr>
          <w:lang w:val="en-GB"/>
        </w:rPr>
        <w:t>Key words:</w:t>
      </w:r>
      <w:r>
        <w:rPr>
          <w:lang w:val="en-GB"/>
        </w:rPr>
        <w:t xml:space="preserve"> Bacterial vaginosis; vaginal probiotic;</w:t>
      </w:r>
      <w:r w:rsidRPr="00A133A9">
        <w:rPr>
          <w:lang w:val="en-GB"/>
        </w:rPr>
        <w:t xml:space="preserve"> </w:t>
      </w:r>
      <w:r>
        <w:rPr>
          <w:i/>
          <w:lang w:val="en-GB"/>
        </w:rPr>
        <w:t>Lactobacillus crispatus;</w:t>
      </w:r>
      <w:r w:rsidRPr="00A133A9">
        <w:rPr>
          <w:i/>
          <w:lang w:val="en-GB"/>
        </w:rPr>
        <w:t xml:space="preserve"> </w:t>
      </w:r>
      <w:r>
        <w:rPr>
          <w:lang w:val="en-GB"/>
        </w:rPr>
        <w:t>vaginal infection; recurrence bacterial vaginosis;</w:t>
      </w:r>
      <w:r w:rsidRPr="00A133A9">
        <w:rPr>
          <w:lang w:val="en-GB"/>
        </w:rPr>
        <w:t xml:space="preserve"> Metronidazole</w:t>
      </w:r>
    </w:p>
    <w:p w:rsidR="00DC2684" w:rsidRDefault="00DC2684" w:rsidP="00DC2684">
      <w:pPr>
        <w:spacing w:after="0" w:line="240" w:lineRule="auto"/>
        <w:rPr>
          <w:rFonts w:asciiTheme="minorHAnsi" w:eastAsiaTheme="minorHAnsi" w:hAnsiTheme="minorHAnsi"/>
          <w:b/>
          <w:sz w:val="28"/>
          <w:szCs w:val="28"/>
        </w:rPr>
      </w:pPr>
    </w:p>
    <w:p w:rsidR="006E182B" w:rsidRPr="00A133A9" w:rsidRDefault="006E182B" w:rsidP="006E182B">
      <w:pPr>
        <w:rPr>
          <w:lang w:val="en-GB"/>
        </w:rPr>
      </w:pPr>
      <w:r w:rsidRPr="00A133A9">
        <w:rPr>
          <w:u w:val="single"/>
          <w:lang w:val="en-GB"/>
        </w:rPr>
        <w:t>Background</w:t>
      </w:r>
      <w:r w:rsidRPr="00A133A9">
        <w:rPr>
          <w:lang w:val="en-GB"/>
        </w:rPr>
        <w:t xml:space="preserve">: Bacterial vaginosis (BV) is a recurrent disease in </w:t>
      </w:r>
      <w:r>
        <w:rPr>
          <w:lang w:val="en-GB"/>
        </w:rPr>
        <w:t>women</w:t>
      </w:r>
      <w:r w:rsidRPr="00A133A9">
        <w:rPr>
          <w:lang w:val="en-GB"/>
        </w:rPr>
        <w:t xml:space="preserve"> </w:t>
      </w:r>
      <w:r>
        <w:rPr>
          <w:lang w:val="en-GB"/>
        </w:rPr>
        <w:t xml:space="preserve">despite </w:t>
      </w:r>
      <w:r w:rsidRPr="00A133A9">
        <w:rPr>
          <w:lang w:val="en-GB"/>
        </w:rPr>
        <w:t>treatment by antibiotic</w:t>
      </w:r>
      <w:r>
        <w:rPr>
          <w:lang w:val="en-GB"/>
        </w:rPr>
        <w:t>s</w:t>
      </w:r>
      <w:r w:rsidRPr="00A133A9">
        <w:rPr>
          <w:lang w:val="en-GB"/>
        </w:rPr>
        <w:t>. This study investigate</w:t>
      </w:r>
      <w:r>
        <w:rPr>
          <w:lang w:val="en-GB"/>
        </w:rPr>
        <w:t>d</w:t>
      </w:r>
      <w:r w:rsidRPr="00A133A9">
        <w:rPr>
          <w:lang w:val="en-GB"/>
        </w:rPr>
        <w:t xml:space="preserve"> the impact of a vaginal probiotic</w:t>
      </w:r>
      <w:r>
        <w:rPr>
          <w:lang w:val="en-GB"/>
        </w:rPr>
        <w:t>,</w:t>
      </w:r>
      <w:r w:rsidRPr="00A133A9">
        <w:rPr>
          <w:lang w:val="en-GB"/>
        </w:rPr>
        <w:t xml:space="preserve"> </w:t>
      </w:r>
      <w:r w:rsidRPr="00A133A9">
        <w:rPr>
          <w:i/>
          <w:lang w:val="en-GB"/>
        </w:rPr>
        <w:t>Lactobacillus crispatus</w:t>
      </w:r>
      <w:r w:rsidRPr="00A133A9">
        <w:rPr>
          <w:lang w:val="en-GB"/>
        </w:rPr>
        <w:t xml:space="preserve"> IP174178* (</w:t>
      </w:r>
      <w:r w:rsidRPr="00404D98">
        <w:rPr>
          <w:i/>
          <w:lang w:val="en-GB"/>
        </w:rPr>
        <w:t>Lc</w:t>
      </w:r>
      <w:r w:rsidRPr="00A133A9">
        <w:rPr>
          <w:lang w:val="en-GB"/>
        </w:rPr>
        <w:t>)</w:t>
      </w:r>
      <w:r>
        <w:rPr>
          <w:lang w:val="en-GB"/>
        </w:rPr>
        <w:t>,</w:t>
      </w:r>
      <w:r w:rsidRPr="00A133A9">
        <w:rPr>
          <w:lang w:val="en-GB"/>
        </w:rPr>
        <w:t xml:space="preserve"> on the rate of recurrence and time to </w:t>
      </w:r>
      <w:r>
        <w:rPr>
          <w:lang w:val="en-GB"/>
        </w:rPr>
        <w:t>recurrence</w:t>
      </w:r>
      <w:r w:rsidRPr="00A133A9">
        <w:rPr>
          <w:lang w:val="en-GB"/>
        </w:rPr>
        <w:t>.</w:t>
      </w:r>
    </w:p>
    <w:p w:rsidR="006E182B" w:rsidRPr="00A133A9" w:rsidRDefault="006E182B" w:rsidP="006E182B">
      <w:pPr>
        <w:rPr>
          <w:lang w:val="en-GB"/>
        </w:rPr>
      </w:pPr>
      <w:r w:rsidRPr="00A133A9">
        <w:rPr>
          <w:u w:val="single"/>
          <w:lang w:val="en-GB"/>
        </w:rPr>
        <w:t>Methods</w:t>
      </w:r>
      <w:r w:rsidRPr="00A133A9">
        <w:rPr>
          <w:lang w:val="en-GB"/>
        </w:rPr>
        <w:t>: A</w:t>
      </w:r>
      <w:r>
        <w:rPr>
          <w:lang w:val="en-GB"/>
        </w:rPr>
        <w:t xml:space="preserve"> prospective, multi-centre, </w:t>
      </w:r>
      <w:r w:rsidRPr="00A133A9">
        <w:rPr>
          <w:lang w:val="en-GB"/>
        </w:rPr>
        <w:t>double blind,</w:t>
      </w:r>
      <w:r>
        <w:rPr>
          <w:lang w:val="en-GB"/>
        </w:rPr>
        <w:t xml:space="preserve"> randomised</w:t>
      </w:r>
      <w:r w:rsidRPr="00A133A9">
        <w:rPr>
          <w:lang w:val="en-GB"/>
        </w:rPr>
        <w:t xml:space="preserve"> phase III trial </w:t>
      </w:r>
      <w:r>
        <w:rPr>
          <w:lang w:val="en-GB"/>
        </w:rPr>
        <w:t>in</w:t>
      </w:r>
      <w:r w:rsidRPr="00A133A9">
        <w:rPr>
          <w:lang w:val="en-GB"/>
        </w:rPr>
        <w:t xml:space="preserve"> women </w:t>
      </w:r>
      <w:r>
        <w:rPr>
          <w:lang w:val="en-GB"/>
        </w:rPr>
        <w:t>with</w:t>
      </w:r>
      <w:r w:rsidRPr="00A133A9">
        <w:rPr>
          <w:lang w:val="en-GB"/>
        </w:rPr>
        <w:t xml:space="preserve"> at least </w:t>
      </w:r>
      <w:r>
        <w:rPr>
          <w:lang w:val="en-GB"/>
        </w:rPr>
        <w:t>two</w:t>
      </w:r>
      <w:r w:rsidRPr="00A133A9">
        <w:rPr>
          <w:lang w:val="en-GB"/>
        </w:rPr>
        <w:t xml:space="preserve"> documented </w:t>
      </w:r>
      <w:r>
        <w:rPr>
          <w:lang w:val="en-GB"/>
        </w:rPr>
        <w:t xml:space="preserve">episodes of </w:t>
      </w:r>
      <w:r w:rsidRPr="00A133A9">
        <w:rPr>
          <w:lang w:val="en-GB"/>
        </w:rPr>
        <w:t>BV in the previous year</w:t>
      </w:r>
      <w:r w:rsidRPr="00A133A9" w:rsidDel="001744B4">
        <w:rPr>
          <w:lang w:val="en-GB"/>
        </w:rPr>
        <w:t xml:space="preserve"> </w:t>
      </w:r>
      <w:r w:rsidRPr="00A133A9">
        <w:rPr>
          <w:lang w:val="en-GB"/>
        </w:rPr>
        <w:t>(</w:t>
      </w:r>
      <w:r>
        <w:rPr>
          <w:lang w:val="en-GB"/>
        </w:rPr>
        <w:t xml:space="preserve">diagnosis confirmed by presence of three </w:t>
      </w:r>
      <w:r w:rsidRPr="00A133A9">
        <w:rPr>
          <w:lang w:val="en-GB"/>
        </w:rPr>
        <w:t>A</w:t>
      </w:r>
      <w:r>
        <w:rPr>
          <w:lang w:val="en-GB"/>
        </w:rPr>
        <w:t>msel</w:t>
      </w:r>
      <w:r w:rsidRPr="00A133A9">
        <w:rPr>
          <w:lang w:val="en-GB"/>
        </w:rPr>
        <w:t xml:space="preserve"> criteria and a Nugent score</w:t>
      </w:r>
      <w:r>
        <w:rPr>
          <w:lang w:val="en-GB"/>
        </w:rPr>
        <w:t xml:space="preserve"> </w:t>
      </w:r>
      <w:r w:rsidRPr="00A133A9">
        <w:rPr>
          <w:lang w:val="en-GB"/>
        </w:rPr>
        <w:t xml:space="preserve">≥7), </w:t>
      </w:r>
      <w:r>
        <w:rPr>
          <w:lang w:val="en-GB"/>
        </w:rPr>
        <w:t xml:space="preserve">and who had been </w:t>
      </w:r>
      <w:r w:rsidRPr="00A133A9">
        <w:rPr>
          <w:lang w:val="en-GB"/>
        </w:rPr>
        <w:t>clinically cured</w:t>
      </w:r>
      <w:r>
        <w:rPr>
          <w:lang w:val="en-GB"/>
        </w:rPr>
        <w:t xml:space="preserve"> (i.e., no Amsel criteria)</w:t>
      </w:r>
      <w:r w:rsidRPr="00A133A9">
        <w:rPr>
          <w:lang w:val="en-GB"/>
        </w:rPr>
        <w:t xml:space="preserve"> after oral metronidazole treatment (1g/day × 7 days). The patients </w:t>
      </w:r>
      <w:r>
        <w:rPr>
          <w:lang w:val="en-GB"/>
        </w:rPr>
        <w:t xml:space="preserve">were randomised to receive </w:t>
      </w:r>
      <w:r w:rsidRPr="00A133A9">
        <w:rPr>
          <w:lang w:val="en-GB"/>
        </w:rPr>
        <w:t xml:space="preserve"> </w:t>
      </w:r>
      <w:r>
        <w:rPr>
          <w:lang w:val="en-GB"/>
        </w:rPr>
        <w:t>vaginal capsules of</w:t>
      </w:r>
      <w:r w:rsidRPr="00A133A9">
        <w:rPr>
          <w:lang w:val="en-GB"/>
        </w:rPr>
        <w:t xml:space="preserve"> either </w:t>
      </w:r>
      <w:r w:rsidRPr="00A133A9">
        <w:rPr>
          <w:i/>
          <w:lang w:val="en-GB"/>
        </w:rPr>
        <w:t>Lc</w:t>
      </w:r>
      <w:r w:rsidRPr="00A133A9">
        <w:rPr>
          <w:lang w:val="en-GB"/>
        </w:rPr>
        <w:t xml:space="preserve"> or placebo, once a day, </w:t>
      </w:r>
      <w:r>
        <w:rPr>
          <w:lang w:val="en-GB"/>
        </w:rPr>
        <w:t>for</w:t>
      </w:r>
      <w:r w:rsidRPr="00A133A9">
        <w:rPr>
          <w:lang w:val="en-GB"/>
        </w:rPr>
        <w:t xml:space="preserve"> 14 days </w:t>
      </w:r>
      <w:r>
        <w:rPr>
          <w:lang w:val="en-GB"/>
        </w:rPr>
        <w:t>over the first two</w:t>
      </w:r>
      <w:r w:rsidRPr="00A133A9">
        <w:rPr>
          <w:lang w:val="en-GB"/>
        </w:rPr>
        <w:t xml:space="preserve"> menstrual cycles</w:t>
      </w:r>
      <w:r>
        <w:rPr>
          <w:lang w:val="en-GB"/>
        </w:rPr>
        <w:t xml:space="preserve"> and another 14 days of the same treatment for the following two menstrual cycles</w:t>
      </w:r>
      <w:r w:rsidRPr="00A133A9">
        <w:rPr>
          <w:lang w:val="en-GB"/>
        </w:rPr>
        <w:t>. The primary efficacy endpoint</w:t>
      </w:r>
      <w:r>
        <w:rPr>
          <w:lang w:val="en-GB"/>
        </w:rPr>
        <w:t xml:space="preserve"> </w:t>
      </w:r>
      <w:r w:rsidRPr="00A133A9">
        <w:rPr>
          <w:lang w:val="en-GB"/>
        </w:rPr>
        <w:t>was the number of patients with at least one bacteriologically confirmed re</w:t>
      </w:r>
      <w:r>
        <w:rPr>
          <w:lang w:val="en-GB"/>
        </w:rPr>
        <w:t>currence</w:t>
      </w:r>
      <w:r w:rsidRPr="00A133A9">
        <w:rPr>
          <w:lang w:val="en-GB"/>
        </w:rPr>
        <w:t xml:space="preserve"> of BV.</w:t>
      </w:r>
    </w:p>
    <w:p w:rsidR="006E182B" w:rsidRPr="006E182B" w:rsidRDefault="006E182B" w:rsidP="006E182B">
      <w:pPr>
        <w:spacing w:line="240" w:lineRule="auto"/>
        <w:rPr>
          <w:lang w:val="en-GB"/>
        </w:rPr>
      </w:pPr>
      <w:r w:rsidRPr="00A133A9">
        <w:rPr>
          <w:u w:val="single"/>
          <w:lang w:val="en-GB"/>
        </w:rPr>
        <w:t>Results</w:t>
      </w:r>
      <w:r w:rsidRPr="00A133A9">
        <w:rPr>
          <w:lang w:val="en-GB"/>
        </w:rPr>
        <w:t xml:space="preserve">: </w:t>
      </w:r>
      <w:r>
        <w:rPr>
          <w:lang w:val="en-GB"/>
        </w:rPr>
        <w:t xml:space="preserve">Out of 98 </w:t>
      </w:r>
      <w:r w:rsidRPr="00A133A9">
        <w:rPr>
          <w:lang w:val="en-GB"/>
        </w:rPr>
        <w:t xml:space="preserve">assessable </w:t>
      </w:r>
      <w:r>
        <w:rPr>
          <w:lang w:val="en-GB"/>
        </w:rPr>
        <w:t>patients (mean age 35.7 years),</w:t>
      </w:r>
      <w:r w:rsidRPr="00A133A9">
        <w:rPr>
          <w:lang w:val="en-GB"/>
        </w:rPr>
        <w:t xml:space="preserve"> 78 women were evaluated (20 patients had missing data).</w:t>
      </w:r>
      <w:r>
        <w:rPr>
          <w:lang w:val="en-GB"/>
        </w:rPr>
        <w:t xml:space="preserve"> </w:t>
      </w:r>
      <w:r w:rsidRPr="00A133A9">
        <w:rPr>
          <w:lang w:val="en-GB"/>
        </w:rPr>
        <w:t>During the treatment period, 16/39 patients</w:t>
      </w:r>
      <w:r>
        <w:rPr>
          <w:lang w:val="en-GB"/>
        </w:rPr>
        <w:t xml:space="preserve"> </w:t>
      </w:r>
      <w:r w:rsidRPr="00A133A9">
        <w:rPr>
          <w:lang w:val="en-GB"/>
        </w:rPr>
        <w:t xml:space="preserve">(41%) </w:t>
      </w:r>
      <w:r>
        <w:rPr>
          <w:lang w:val="en-GB"/>
        </w:rPr>
        <w:t xml:space="preserve">had </w:t>
      </w:r>
      <w:r w:rsidRPr="00A133A9">
        <w:rPr>
          <w:lang w:val="en-GB"/>
        </w:rPr>
        <w:t>at least on</w:t>
      </w:r>
      <w:r>
        <w:rPr>
          <w:lang w:val="en-GB"/>
        </w:rPr>
        <w:t>e recurrence</w:t>
      </w:r>
      <w:r w:rsidRPr="00A133A9">
        <w:rPr>
          <w:lang w:val="en-GB"/>
        </w:rPr>
        <w:t xml:space="preserve"> in the placebo group versus 8/39 patients (20.5%) in the </w:t>
      </w:r>
      <w:r w:rsidRPr="00A133A9">
        <w:rPr>
          <w:i/>
          <w:lang w:val="en-GB"/>
        </w:rPr>
        <w:t>Lc</w:t>
      </w:r>
      <w:r w:rsidRPr="00A133A9">
        <w:rPr>
          <w:lang w:val="en-GB"/>
        </w:rPr>
        <w:t xml:space="preserve"> group (p=0.0497). The time to r</w:t>
      </w:r>
      <w:r>
        <w:rPr>
          <w:lang w:val="en-GB"/>
        </w:rPr>
        <w:t>ecurrence</w:t>
      </w:r>
      <w:r w:rsidRPr="00A133A9">
        <w:rPr>
          <w:lang w:val="en-GB"/>
        </w:rPr>
        <w:t xml:space="preserve"> was longer </w:t>
      </w:r>
      <w:r>
        <w:rPr>
          <w:lang w:val="en-GB"/>
        </w:rPr>
        <w:t xml:space="preserve">by </w:t>
      </w:r>
      <w:r w:rsidRPr="00A133A9">
        <w:rPr>
          <w:lang w:val="en-GB"/>
        </w:rPr>
        <w:t xml:space="preserve">28% in the </w:t>
      </w:r>
      <w:r w:rsidRPr="00A133A9">
        <w:rPr>
          <w:i/>
          <w:lang w:val="en-GB"/>
        </w:rPr>
        <w:t xml:space="preserve">Lc </w:t>
      </w:r>
      <w:r w:rsidRPr="00A133A9">
        <w:rPr>
          <w:lang w:val="en-GB"/>
        </w:rPr>
        <w:t>group (3.75 months</w:t>
      </w:r>
      <w:r>
        <w:rPr>
          <w:lang w:val="en-GB"/>
        </w:rPr>
        <w:t xml:space="preserve"> </w:t>
      </w:r>
      <w:r>
        <w:rPr>
          <w:rFonts w:cs="Calibri"/>
          <w:lang w:val="en-GB"/>
        </w:rPr>
        <w:t>±</w:t>
      </w:r>
      <w:r w:rsidRPr="00A133A9">
        <w:rPr>
          <w:lang w:val="en-GB"/>
        </w:rPr>
        <w:t xml:space="preserve"> 0.16</w:t>
      </w:r>
      <w:r>
        <w:rPr>
          <w:lang w:val="en-GB"/>
        </w:rPr>
        <w:t xml:space="preserve">) vs. </w:t>
      </w:r>
      <w:r w:rsidRPr="00A133A9">
        <w:rPr>
          <w:lang w:val="en-GB"/>
        </w:rPr>
        <w:t>the placebo group (2.93 months</w:t>
      </w:r>
      <w:r>
        <w:rPr>
          <w:lang w:val="en-GB"/>
        </w:rPr>
        <w:t xml:space="preserve"> </w:t>
      </w:r>
      <w:r>
        <w:rPr>
          <w:rFonts w:cs="Calibri"/>
          <w:lang w:val="en-GB"/>
        </w:rPr>
        <w:t xml:space="preserve">± </w:t>
      </w:r>
      <w:r w:rsidRPr="00A133A9">
        <w:rPr>
          <w:lang w:val="en-GB"/>
        </w:rPr>
        <w:t xml:space="preserve">0.18) (p=0.0298).  </w:t>
      </w:r>
      <w:r>
        <w:rPr>
          <w:lang w:val="en-GB"/>
        </w:rPr>
        <w:t>Tolerability and safety were</w:t>
      </w:r>
      <w:r w:rsidRPr="00A133A9">
        <w:rPr>
          <w:lang w:val="en-GB"/>
        </w:rPr>
        <w:t xml:space="preserve"> good in both groups.</w:t>
      </w:r>
    </w:p>
    <w:p w:rsidR="006E182B" w:rsidRPr="00A133A9" w:rsidRDefault="006E182B" w:rsidP="006E182B">
      <w:pPr>
        <w:rPr>
          <w:lang w:val="en-GB"/>
        </w:rPr>
      </w:pPr>
      <w:r w:rsidRPr="00A133A9">
        <w:rPr>
          <w:u w:val="single"/>
          <w:lang w:val="en-GB"/>
        </w:rPr>
        <w:t>Conclusion</w:t>
      </w:r>
      <w:r w:rsidRPr="00A133A9">
        <w:rPr>
          <w:lang w:val="en-GB"/>
        </w:rPr>
        <w:t xml:space="preserve">: In </w:t>
      </w:r>
      <w:r>
        <w:rPr>
          <w:lang w:val="en-GB"/>
        </w:rPr>
        <w:t xml:space="preserve">women with </w:t>
      </w:r>
      <w:r w:rsidRPr="00A133A9">
        <w:rPr>
          <w:lang w:val="en-GB"/>
        </w:rPr>
        <w:t xml:space="preserve">recurrent BV </w:t>
      </w:r>
      <w:r>
        <w:rPr>
          <w:lang w:val="en-GB"/>
        </w:rPr>
        <w:t>after antibiotics, treatment</w:t>
      </w:r>
      <w:r w:rsidRPr="00A133A9">
        <w:rPr>
          <w:lang w:val="en-GB"/>
        </w:rPr>
        <w:t xml:space="preserve"> with </w:t>
      </w:r>
      <w:r w:rsidRPr="00A133A9">
        <w:rPr>
          <w:i/>
          <w:lang w:val="en-GB"/>
        </w:rPr>
        <w:t xml:space="preserve">Lc </w:t>
      </w:r>
      <w:r w:rsidRPr="00A133A9">
        <w:rPr>
          <w:lang w:val="en-GB"/>
        </w:rPr>
        <w:t>IP 174178</w:t>
      </w:r>
      <w:r>
        <w:rPr>
          <w:lang w:val="en-GB"/>
        </w:rPr>
        <w:t xml:space="preserve"> </w:t>
      </w:r>
      <w:r w:rsidRPr="00A133A9">
        <w:rPr>
          <w:lang w:val="en-GB"/>
        </w:rPr>
        <w:t>administ</w:t>
      </w:r>
      <w:r>
        <w:rPr>
          <w:lang w:val="en-GB"/>
        </w:rPr>
        <w:t>ered</w:t>
      </w:r>
      <w:r w:rsidRPr="00A133A9">
        <w:rPr>
          <w:lang w:val="en-GB"/>
        </w:rPr>
        <w:t xml:space="preserve"> </w:t>
      </w:r>
      <w:r>
        <w:rPr>
          <w:lang w:val="en-GB"/>
        </w:rPr>
        <w:t>over four</w:t>
      </w:r>
      <w:r w:rsidRPr="00A133A9">
        <w:rPr>
          <w:lang w:val="en-GB"/>
        </w:rPr>
        <w:t xml:space="preserve"> </w:t>
      </w:r>
      <w:r>
        <w:rPr>
          <w:lang w:val="en-GB"/>
        </w:rPr>
        <w:t xml:space="preserve">menstrual </w:t>
      </w:r>
      <w:r w:rsidRPr="00A133A9">
        <w:rPr>
          <w:lang w:val="en-GB"/>
        </w:rPr>
        <w:t>cycles</w:t>
      </w:r>
      <w:r>
        <w:rPr>
          <w:lang w:val="en-GB"/>
        </w:rPr>
        <w:t xml:space="preserve">, </w:t>
      </w:r>
      <w:r w:rsidRPr="00A133A9">
        <w:rPr>
          <w:lang w:val="en-GB"/>
        </w:rPr>
        <w:t xml:space="preserve">could significantly reduce the </w:t>
      </w:r>
      <w:r>
        <w:rPr>
          <w:lang w:val="en-GB"/>
        </w:rPr>
        <w:t xml:space="preserve">rate of </w:t>
      </w:r>
      <w:r w:rsidRPr="00A133A9">
        <w:rPr>
          <w:lang w:val="en-GB"/>
        </w:rPr>
        <w:t xml:space="preserve">recurrence and </w:t>
      </w:r>
      <w:r>
        <w:rPr>
          <w:lang w:val="en-GB"/>
        </w:rPr>
        <w:t>increase</w:t>
      </w:r>
      <w:r w:rsidRPr="00A133A9">
        <w:rPr>
          <w:lang w:val="en-GB"/>
        </w:rPr>
        <w:t xml:space="preserve"> the time to </w:t>
      </w:r>
      <w:r>
        <w:rPr>
          <w:lang w:val="en-GB"/>
        </w:rPr>
        <w:t>recurrence</w:t>
      </w:r>
      <w:r w:rsidRPr="00A133A9">
        <w:rPr>
          <w:lang w:val="en-GB"/>
        </w:rPr>
        <w:t xml:space="preserve">. </w:t>
      </w:r>
    </w:p>
    <w:p w:rsidR="00E22BFA" w:rsidRPr="00A133A9" w:rsidRDefault="00E22BFA" w:rsidP="00E22BFA">
      <w:pPr>
        <w:rPr>
          <w:sz w:val="24"/>
          <w:szCs w:val="24"/>
          <w:vertAlign w:val="superscript"/>
          <w:lang w:val="en-GB"/>
        </w:rPr>
      </w:pPr>
      <w:r w:rsidRPr="00A133A9">
        <w:rPr>
          <w:sz w:val="24"/>
          <w:szCs w:val="24"/>
          <w:vertAlign w:val="superscript"/>
          <w:lang w:val="en-GB"/>
        </w:rPr>
        <w:t>*Physioflor ®</w:t>
      </w:r>
    </w:p>
    <w:p w:rsidR="006B13F9" w:rsidRDefault="006B13F9" w:rsidP="00E22BFA">
      <w:pPr>
        <w:rPr>
          <w:lang w:val="en-GB"/>
        </w:rPr>
      </w:pPr>
    </w:p>
    <w:p w:rsidR="00C074FA" w:rsidRPr="00A133A9" w:rsidRDefault="00C074FA" w:rsidP="00E22BFA">
      <w:pPr>
        <w:rPr>
          <w:lang w:val="en-GB"/>
        </w:rPr>
      </w:pPr>
    </w:p>
    <w:sectPr w:rsidR="00C074FA" w:rsidRPr="00A133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74FA" w:rsidRDefault="00C074FA" w:rsidP="00C074FA">
      <w:pPr>
        <w:spacing w:after="0" w:line="240" w:lineRule="auto"/>
      </w:pPr>
      <w:r>
        <w:separator/>
      </w:r>
    </w:p>
  </w:endnote>
  <w:endnote w:type="continuationSeparator" w:id="0">
    <w:p w:rsidR="00C074FA" w:rsidRDefault="00C074FA" w:rsidP="00C0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74FA" w:rsidRDefault="00C074FA" w:rsidP="00C074FA">
      <w:pPr>
        <w:spacing w:after="0" w:line="240" w:lineRule="auto"/>
      </w:pPr>
      <w:r>
        <w:separator/>
      </w:r>
    </w:p>
  </w:footnote>
  <w:footnote w:type="continuationSeparator" w:id="0">
    <w:p w:rsidR="00C074FA" w:rsidRDefault="00C074FA" w:rsidP="00C074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fBmTagged" w:val="joanberglund@gmail.com"/>
    <w:docVar w:name="WfID" w:val="1D33E7dmeq88123456789 (_x0017__x0018__x0013_0&lt;_x0007_) rglund@gmail.com"/>
    <w:docVar w:name="WfLastSegment" w:val="0 n"/>
    <w:docVar w:name="WfMT" w:val="0"/>
    <w:docVar w:name="WfProtection" w:val="1"/>
    <w:docVar w:name="WfStyles" w:val=" 265   no"/>
  </w:docVars>
  <w:rsids>
    <w:rsidRoot w:val="00E22BFA"/>
    <w:rsid w:val="003979B6"/>
    <w:rsid w:val="00632EF5"/>
    <w:rsid w:val="006B13F9"/>
    <w:rsid w:val="006E182B"/>
    <w:rsid w:val="00786729"/>
    <w:rsid w:val="0086067F"/>
    <w:rsid w:val="008B3C2E"/>
    <w:rsid w:val="00A133A9"/>
    <w:rsid w:val="00AD2D0D"/>
    <w:rsid w:val="00B03AD4"/>
    <w:rsid w:val="00C074FA"/>
    <w:rsid w:val="00CF001A"/>
    <w:rsid w:val="00DC2684"/>
    <w:rsid w:val="00E22BFA"/>
    <w:rsid w:val="00E73BA0"/>
    <w:rsid w:val="00EA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57F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2BFA"/>
    <w:pPr>
      <w:spacing w:line="256" w:lineRule="auto"/>
    </w:pPr>
    <w:rPr>
      <w:rFonts w:ascii="Calibri" w:eastAsia="Calibri" w:hAnsi="Calibri" w:cs="Times New Roman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w4winMark">
    <w:name w:val="tw4winMark"/>
    <w:basedOn w:val="Policepardfaut"/>
    <w:rsid w:val="00A133A9"/>
    <w:rPr>
      <w:rFonts w:ascii="Courier New" w:hAnsi="Courier New" w:cs="Courier New"/>
      <w:b w:val="0"/>
      <w:i w:val="0"/>
      <w:dstrike w:val="0"/>
      <w:noProof/>
      <w:vanish/>
      <w:color w:val="800080"/>
      <w:sz w:val="18"/>
      <w:effect w:val="none"/>
      <w:vertAlign w:val="subscript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F00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F001A"/>
    <w:rPr>
      <w:rFonts w:ascii="Segoe UI" w:eastAsia="Calibri" w:hAnsi="Segoe UI" w:cs="Segoe UI"/>
      <w:sz w:val="18"/>
      <w:szCs w:val="18"/>
      <w:lang w:val="fr-FR" w:eastAsia="en-US"/>
    </w:rPr>
  </w:style>
  <w:style w:type="paragraph" w:styleId="En-tte">
    <w:name w:val="header"/>
    <w:basedOn w:val="Normal"/>
    <w:link w:val="En-tteCar"/>
    <w:uiPriority w:val="99"/>
    <w:unhideWhenUsed/>
    <w:rsid w:val="00C07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74FA"/>
    <w:rPr>
      <w:rFonts w:ascii="Calibri" w:eastAsia="Calibri" w:hAnsi="Calibri" w:cs="Times New Roman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C07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74FA"/>
    <w:rPr>
      <w:rFonts w:ascii="Calibri" w:eastAsia="Calibri" w:hAnsi="Calibri" w:cs="Times New Roman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9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2017-11-09T16:25:00Z</dcterms:created>
  <dcterms:modified xsi:type="dcterms:W3CDTF">2017-11-09T16:26:00Z</dcterms:modified>
</cp:coreProperties>
</file>