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15D" w:rsidRPr="007B3381" w:rsidRDefault="0076615D" w:rsidP="0076615D">
      <w:pPr>
        <w:bidi w:val="0"/>
        <w:spacing w:line="360" w:lineRule="auto"/>
        <w:jc w:val="center"/>
        <w:rPr>
          <w:rFonts w:asciiTheme="majorBidi" w:hAnsiTheme="majorBidi" w:cstheme="majorBidi"/>
          <w:sz w:val="28"/>
          <w:szCs w:val="28"/>
          <w:lang w:bidi="ar-EG"/>
        </w:rPr>
      </w:pPr>
      <w:r w:rsidRPr="007B3381">
        <w:rPr>
          <w:rFonts w:asciiTheme="majorBidi" w:hAnsiTheme="majorBidi" w:cstheme="majorBidi"/>
          <w:sz w:val="28"/>
          <w:szCs w:val="28"/>
          <w:lang w:bidi="ar-EG"/>
        </w:rPr>
        <w:t>Page title</w:t>
      </w: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7B3381">
        <w:rPr>
          <w:rFonts w:asciiTheme="majorBidi" w:hAnsiTheme="majorBidi" w:cstheme="majorBidi"/>
          <w:sz w:val="28"/>
          <w:szCs w:val="28"/>
        </w:rPr>
        <w:t xml:space="preserve">Title: Placenta Of Late Onset Preeclampsia Without Fetal Growth Restriction, Is It Different From The Normal? </w:t>
      </w: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7B3381">
        <w:rPr>
          <w:rFonts w:asciiTheme="majorBidi" w:hAnsiTheme="majorBidi" w:cstheme="majorBidi"/>
          <w:sz w:val="28"/>
          <w:szCs w:val="28"/>
        </w:rPr>
        <w:t>Author</w:t>
      </w:r>
      <w:r>
        <w:rPr>
          <w:rFonts w:asciiTheme="majorBidi" w:hAnsiTheme="majorBidi" w:cstheme="majorBidi"/>
          <w:sz w:val="28"/>
          <w:szCs w:val="28"/>
        </w:rPr>
        <w:t>s</w:t>
      </w:r>
      <w:r w:rsidRPr="007B3381">
        <w:rPr>
          <w:rFonts w:asciiTheme="majorBidi" w:hAnsiTheme="majorBidi" w:cstheme="majorBidi"/>
          <w:sz w:val="28"/>
          <w:szCs w:val="28"/>
        </w:rPr>
        <w:t xml:space="preserve"> names and affiliations.</w:t>
      </w:r>
      <w:proofErr w:type="gramEnd"/>
      <w:r w:rsidRPr="007B3381">
        <w:rPr>
          <w:rFonts w:asciiTheme="majorBidi" w:hAnsiTheme="majorBidi" w:cstheme="majorBidi"/>
          <w:sz w:val="28"/>
          <w:szCs w:val="28"/>
        </w:rPr>
        <w:t xml:space="preserve"> </w:t>
      </w:r>
    </w:p>
    <w:p w:rsidR="0076615D" w:rsidRPr="007B3381" w:rsidRDefault="0076615D" w:rsidP="0076615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Wageh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 </w:t>
      </w:r>
      <w:r>
        <w:rPr>
          <w:rFonts w:asciiTheme="majorBidi" w:hAnsiTheme="majorBidi" w:cstheme="majorBidi"/>
          <w:sz w:val="28"/>
          <w:szCs w:val="28"/>
          <w:vertAlign w:val="superscript"/>
        </w:rPr>
        <w:t>MD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7B3381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</w:rPr>
        <w:t>Nagib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RM </w:t>
      </w:r>
      <w:r>
        <w:rPr>
          <w:rFonts w:asciiTheme="majorBidi" w:hAnsiTheme="majorBidi" w:cstheme="majorBidi"/>
          <w:sz w:val="28"/>
          <w:szCs w:val="28"/>
          <w:vertAlign w:val="superscript"/>
        </w:rPr>
        <w:t>PhD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vertAlign w:val="superscript"/>
        </w:rPr>
        <w:t>2</w:t>
      </w:r>
    </w:p>
    <w:p w:rsidR="0076615D" w:rsidRDefault="0076615D" w:rsidP="0076615D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7B3381">
        <w:rPr>
          <w:rFonts w:asciiTheme="majorBidi" w:hAnsiTheme="majorBidi" w:cstheme="majorBidi"/>
          <w:sz w:val="28"/>
          <w:szCs w:val="28"/>
          <w:vertAlign w:val="superscript"/>
        </w:rPr>
        <w:t>1.</w:t>
      </w:r>
      <w:r w:rsidRPr="007B338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Alaa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Wageh</w:t>
      </w:r>
      <w:proofErr w:type="spellEnd"/>
      <w:r>
        <w:rPr>
          <w:rFonts w:asciiTheme="majorBidi" w:hAnsiTheme="majorBidi" w:cstheme="majorBidi"/>
          <w:sz w:val="28"/>
          <w:szCs w:val="28"/>
        </w:rPr>
        <w:t>: Obstetrics and Gynecology department Faculty of Medicine, Mansoura University Egypt</w:t>
      </w:r>
    </w:p>
    <w:p w:rsidR="0076615D" w:rsidRDefault="0076615D" w:rsidP="0076615D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7B3381">
        <w:rPr>
          <w:rFonts w:asciiTheme="majorBidi" w:hAnsiTheme="majorBidi" w:cstheme="majorBidi"/>
          <w:sz w:val="28"/>
          <w:szCs w:val="28"/>
          <w:vertAlign w:val="superscript"/>
        </w:rPr>
        <w:t>2.</w:t>
      </w:r>
      <w:r w:rsidRPr="007B338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Reham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Mohamed </w:t>
      </w:r>
      <w:proofErr w:type="spellStart"/>
      <w:r>
        <w:rPr>
          <w:rFonts w:asciiTheme="majorBidi" w:hAnsiTheme="majorBidi" w:cstheme="majorBidi"/>
          <w:sz w:val="28"/>
          <w:szCs w:val="28"/>
        </w:rPr>
        <w:t>Nagib</w:t>
      </w:r>
      <w:proofErr w:type="spellEnd"/>
      <w:r>
        <w:rPr>
          <w:rFonts w:asciiTheme="majorBidi" w:hAnsiTheme="majorBidi" w:cstheme="majorBidi"/>
          <w:sz w:val="28"/>
          <w:szCs w:val="28"/>
        </w:rPr>
        <w:t>: Pathology department, Faculty of medicine, Mansoura University, Egypt</w:t>
      </w:r>
    </w:p>
    <w:p w:rsidR="0076615D" w:rsidRPr="007B3381" w:rsidRDefault="0076615D" w:rsidP="0076615D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</w:p>
    <w:p w:rsidR="0076615D" w:rsidRPr="007B3381" w:rsidRDefault="0076615D" w:rsidP="0076615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7B3381">
        <w:rPr>
          <w:rFonts w:asciiTheme="majorBidi" w:hAnsiTheme="majorBidi" w:cstheme="majorBidi"/>
          <w:sz w:val="28"/>
          <w:szCs w:val="28"/>
        </w:rPr>
        <w:t xml:space="preserve">Corresponding author: </w:t>
      </w:r>
      <w:proofErr w:type="spellStart"/>
      <w:r w:rsidRPr="007B3381">
        <w:rPr>
          <w:rFonts w:asciiTheme="majorBidi" w:hAnsiTheme="majorBidi" w:cstheme="majorBidi"/>
          <w:sz w:val="28"/>
          <w:szCs w:val="28"/>
        </w:rPr>
        <w:t>Wageh</w:t>
      </w:r>
      <w:proofErr w:type="spellEnd"/>
      <w:r w:rsidRPr="007B3381">
        <w:rPr>
          <w:rFonts w:asciiTheme="majorBidi" w:hAnsiTheme="majorBidi" w:cstheme="majorBidi"/>
          <w:sz w:val="28"/>
          <w:szCs w:val="28"/>
        </w:rPr>
        <w:t xml:space="preserve"> A.   </w:t>
      </w:r>
    </w:p>
    <w:p w:rsidR="0076615D" w:rsidRPr="007B3381" w:rsidRDefault="0076615D" w:rsidP="0076615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7B3381">
        <w:rPr>
          <w:rFonts w:asciiTheme="majorBidi" w:hAnsiTheme="majorBidi" w:cstheme="majorBidi"/>
          <w:sz w:val="28"/>
          <w:szCs w:val="28"/>
        </w:rPr>
        <w:t xml:space="preserve">Email: </w:t>
      </w:r>
      <w:hyperlink r:id="rId5" w:history="1">
        <w:r w:rsidRPr="007B3381">
          <w:rPr>
            <w:sz w:val="28"/>
            <w:szCs w:val="28"/>
          </w:rPr>
          <w:t>wagehalaa@yahoo.com</w:t>
        </w:r>
      </w:hyperlink>
    </w:p>
    <w:p w:rsidR="0076615D" w:rsidRPr="007B3381" w:rsidRDefault="0076615D" w:rsidP="0076615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7B3381">
        <w:rPr>
          <w:rFonts w:asciiTheme="majorBidi" w:hAnsiTheme="majorBidi" w:cstheme="majorBidi"/>
          <w:sz w:val="28"/>
          <w:szCs w:val="28"/>
        </w:rPr>
        <w:t>Address Mansoura faculty of medicine, Mansoura, Egypt</w:t>
      </w: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76615D" w:rsidRDefault="0076615D" w:rsidP="0076615D">
      <w:pPr>
        <w:bidi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3381">
        <w:rPr>
          <w:rFonts w:asciiTheme="majorBidi" w:hAnsiTheme="majorBidi" w:cstheme="majorBidi"/>
          <w:sz w:val="28"/>
          <w:szCs w:val="28"/>
        </w:rPr>
        <w:t xml:space="preserve">Abstract </w:t>
      </w:r>
    </w:p>
    <w:p w:rsidR="0076615D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5E4E5F">
        <w:rPr>
          <w:rFonts w:asciiTheme="majorBidi" w:hAnsiTheme="majorBidi" w:cstheme="majorBidi"/>
          <w:sz w:val="28"/>
          <w:szCs w:val="28"/>
          <w:lang w:bidi="ar-EG"/>
        </w:rPr>
        <w:t xml:space="preserve">Introduction: </w:t>
      </w:r>
      <w:r>
        <w:rPr>
          <w:rFonts w:asciiTheme="majorBidi" w:hAnsiTheme="majorBidi" w:cstheme="majorBidi"/>
          <w:sz w:val="28"/>
          <w:szCs w:val="28"/>
          <w:lang w:bidi="ar-EG"/>
        </w:rPr>
        <w:t>Preeclampsia (PE) is one of the most common pregnancy complications affecting approximately 5-7% of pregnant women worldwide.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EG"/>
        </w:rPr>
        <w:t>Pathogenesis of PE is still mysterious. Literature studies reported differences between early and late onset PE. Whether placenta of late-onset PE without fetal growth restriction (FGR)</w:t>
      </w:r>
      <w:r>
        <w:rPr>
          <w:rFonts w:asciiTheme="majorBidi" w:hAnsiTheme="majorBidi" w:cstheme="majorBidi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EG"/>
        </w:rPr>
        <w:t>is different from normal one needs further declaration</w:t>
      </w:r>
      <w:r>
        <w:rPr>
          <w:rFonts w:asciiTheme="majorBidi" w:hAnsiTheme="majorBidi" w:cstheme="majorBidi" w:hint="cs"/>
          <w:sz w:val="28"/>
          <w:szCs w:val="28"/>
          <w:rtl/>
          <w:lang w:bidi="ar-EG"/>
        </w:rPr>
        <w:t xml:space="preserve">. </w:t>
      </w:r>
    </w:p>
    <w:p w:rsidR="0076615D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 xml:space="preserve">This study aims at evaluating the placental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microvessel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density (MVD), apoptosis and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endoglin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(CD105) expression in late-onset PE without FGR</w:t>
      </w:r>
      <w:r>
        <w:rPr>
          <w:rFonts w:asciiTheme="majorBidi" w:hAnsiTheme="majorBidi" w:cstheme="majorBidi"/>
          <w:sz w:val="28"/>
          <w:szCs w:val="28"/>
          <w:rtl/>
          <w:lang w:bidi="ar-EG"/>
        </w:rPr>
        <w:t xml:space="preserve"> </w:t>
      </w:r>
    </w:p>
    <w:p w:rsidR="0076615D" w:rsidRPr="00F031EB" w:rsidRDefault="0076615D" w:rsidP="0076615D">
      <w:pPr>
        <w:bidi w:val="0"/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F031EB">
        <w:rPr>
          <w:rFonts w:asciiTheme="majorBidi" w:hAnsiTheme="majorBidi" w:cstheme="majorBidi"/>
          <w:sz w:val="28"/>
          <w:szCs w:val="28"/>
          <w:lang w:bidi="ar-EG"/>
        </w:rPr>
        <w:t>M</w:t>
      </w:r>
      <w:r>
        <w:rPr>
          <w:rFonts w:asciiTheme="majorBidi" w:hAnsiTheme="majorBidi" w:cstheme="majorBidi"/>
          <w:sz w:val="28"/>
          <w:szCs w:val="28"/>
          <w:lang w:bidi="ar-EG"/>
        </w:rPr>
        <w:t>ethods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: placentae of 15 </w:t>
      </w:r>
      <w:r>
        <w:rPr>
          <w:rFonts w:asciiTheme="majorBidi" w:hAnsiTheme="majorBidi" w:cstheme="majorBidi"/>
          <w:sz w:val="28"/>
          <w:szCs w:val="28"/>
          <w:lang w:bidi="ar-EG"/>
        </w:rPr>
        <w:t>PE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 and 15 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matched 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control </w:t>
      </w:r>
      <w:r>
        <w:rPr>
          <w:rFonts w:asciiTheme="majorBidi" w:hAnsiTheme="majorBidi" w:cstheme="majorBidi"/>
          <w:sz w:val="28"/>
          <w:szCs w:val="28"/>
          <w:lang w:bidi="ar-EG"/>
        </w:rPr>
        <w:t>ones were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 evaluated 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grossly, 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>microscop</w:t>
      </w:r>
      <w:r>
        <w:rPr>
          <w:rFonts w:asciiTheme="majorBidi" w:hAnsiTheme="majorBidi" w:cstheme="majorBidi"/>
          <w:sz w:val="28"/>
          <w:szCs w:val="28"/>
          <w:lang w:bidi="ar-EG"/>
        </w:rPr>
        <w:t>ica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lly and </w:t>
      </w:r>
      <w:r>
        <w:rPr>
          <w:rFonts w:asciiTheme="majorBidi" w:hAnsiTheme="majorBidi" w:cstheme="majorBidi"/>
          <w:sz w:val="28"/>
          <w:szCs w:val="28"/>
          <w:lang w:bidi="ar-EG"/>
        </w:rPr>
        <w:t>by immunohistochemistry for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 caspase-3, CD </w:t>
      </w:r>
      <w:r>
        <w:rPr>
          <w:rFonts w:asciiTheme="majorBidi" w:hAnsiTheme="majorBidi" w:cstheme="majorBidi"/>
          <w:sz w:val="28"/>
          <w:szCs w:val="28"/>
          <w:lang w:bidi="ar-EG"/>
        </w:rPr>
        <w:t>34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 and CD105. </w:t>
      </w:r>
    </w:p>
    <w:p w:rsidR="0076615D" w:rsidRPr="005A2D45" w:rsidRDefault="0076615D" w:rsidP="0076615D">
      <w:pPr>
        <w:pStyle w:val="p"/>
        <w:shd w:val="clear" w:color="auto" w:fill="FFFFFF"/>
        <w:spacing w:before="210" w:beforeAutospacing="0" w:after="210" w:afterAutospacing="0" w:line="360" w:lineRule="auto"/>
        <w:jc w:val="both"/>
        <w:rPr>
          <w:rFonts w:asciiTheme="majorBidi" w:eastAsiaTheme="minorHAnsi" w:hAnsiTheme="majorBidi" w:cstheme="majorBidi"/>
          <w:sz w:val="28"/>
          <w:szCs w:val="28"/>
          <w:lang w:bidi="ar-EG"/>
        </w:rPr>
      </w:pPr>
      <w:r w:rsidRPr="00F031EB">
        <w:rPr>
          <w:rFonts w:asciiTheme="majorBidi" w:hAnsiTheme="majorBidi" w:cstheme="majorBidi"/>
          <w:sz w:val="28"/>
          <w:szCs w:val="28"/>
          <w:lang w:bidi="ar-EG"/>
        </w:rPr>
        <w:lastRenderedPageBreak/>
        <w:t>R</w:t>
      </w:r>
      <w:r>
        <w:rPr>
          <w:rFonts w:asciiTheme="majorBidi" w:hAnsiTheme="majorBidi" w:cstheme="majorBidi"/>
          <w:sz w:val="28"/>
          <w:szCs w:val="28"/>
          <w:lang w:bidi="ar-EG"/>
        </w:rPr>
        <w:t>esults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 xml:space="preserve">: </w:t>
      </w:r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 xml:space="preserve">placentas in PE group showed a statistically significant difference as regard size, syncytial knots, </w:t>
      </w:r>
      <w:proofErr w:type="spellStart"/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>perivillous</w:t>
      </w:r>
      <w:proofErr w:type="spellEnd"/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 xml:space="preserve"> fibrin deposition, villous infarction increased apoptosis, and </w:t>
      </w:r>
      <w:proofErr w:type="spellStart"/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>endoglin</w:t>
      </w:r>
      <w:proofErr w:type="spellEnd"/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 xml:space="preserve"> (CD105) expression</w:t>
      </w:r>
      <w:r>
        <w:rPr>
          <w:rFonts w:asciiTheme="majorBidi" w:eastAsiaTheme="minorHAnsi" w:hAnsiTheme="majorBidi" w:cstheme="majorBidi"/>
          <w:sz w:val="28"/>
          <w:szCs w:val="28"/>
          <w:lang w:bidi="ar-EG"/>
        </w:rPr>
        <w:t>,</w:t>
      </w:r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 xml:space="preserve"> however, </w:t>
      </w:r>
      <w:r>
        <w:rPr>
          <w:rFonts w:asciiTheme="majorBidi" w:eastAsiaTheme="minorHAnsi" w:hAnsiTheme="majorBidi" w:cstheme="majorBidi"/>
          <w:sz w:val="28"/>
          <w:szCs w:val="28"/>
          <w:lang w:bidi="ar-EG"/>
        </w:rPr>
        <w:t xml:space="preserve">the </w:t>
      </w:r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 xml:space="preserve">percentage of terminal villi and </w:t>
      </w:r>
      <w:proofErr w:type="spellStart"/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>microvessel</w:t>
      </w:r>
      <w:proofErr w:type="spellEnd"/>
      <w:r w:rsidRPr="005A2D45">
        <w:rPr>
          <w:rFonts w:asciiTheme="majorBidi" w:eastAsiaTheme="minorHAnsi" w:hAnsiTheme="majorBidi" w:cstheme="majorBidi"/>
          <w:sz w:val="28"/>
          <w:szCs w:val="28"/>
          <w:lang w:bidi="ar-EG"/>
        </w:rPr>
        <w:t xml:space="preserve"> density (MVD) were comparable in both groups. </w:t>
      </w:r>
    </w:p>
    <w:p w:rsidR="0076615D" w:rsidRPr="00F031EB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>Conclusion</w:t>
      </w:r>
      <w:r w:rsidRPr="00F031EB">
        <w:rPr>
          <w:rFonts w:asciiTheme="majorBidi" w:hAnsiTheme="majorBidi" w:cstheme="majorBidi"/>
          <w:sz w:val="28"/>
          <w:szCs w:val="28"/>
          <w:lang w:bidi="ar-EG"/>
        </w:rPr>
        <w:t>: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556B75">
        <w:rPr>
          <w:rFonts w:asciiTheme="majorBidi" w:hAnsiTheme="majorBidi" w:cstheme="majorBidi"/>
          <w:sz w:val="28"/>
          <w:szCs w:val="28"/>
          <w:lang w:bidi="ar-EG"/>
        </w:rPr>
        <w:t xml:space="preserve">Placenta from late onset PE without FGR still different from 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the </w:t>
      </w:r>
      <w:r w:rsidRPr="00556B75">
        <w:rPr>
          <w:rFonts w:asciiTheme="majorBidi" w:hAnsiTheme="majorBidi" w:cstheme="majorBidi"/>
          <w:sz w:val="28"/>
          <w:szCs w:val="28"/>
          <w:lang w:bidi="ar-EG"/>
        </w:rPr>
        <w:t>normal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p</w:t>
      </w:r>
      <w:r w:rsidRPr="00556B75">
        <w:rPr>
          <w:rFonts w:asciiTheme="majorBidi" w:hAnsiTheme="majorBidi" w:cstheme="majorBidi"/>
          <w:sz w:val="28"/>
          <w:szCs w:val="28"/>
          <w:lang w:bidi="ar-EG"/>
        </w:rPr>
        <w:t>lacenta</w:t>
      </w:r>
      <w:r>
        <w:rPr>
          <w:rFonts w:asciiTheme="majorBidi" w:hAnsiTheme="majorBidi" w:cstheme="majorBidi"/>
          <w:sz w:val="28"/>
          <w:szCs w:val="28"/>
          <w:lang w:bidi="ar-EG"/>
        </w:rPr>
        <w:t>.</w:t>
      </w:r>
      <w:r w:rsidRPr="00556B75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EG"/>
        </w:rPr>
        <w:t>Whatever time onset of PE pathogenesis may be similar.  Absence of changes in MVD may explain good fetal outcome</w:t>
      </w:r>
    </w:p>
    <w:p w:rsidR="0076615D" w:rsidRPr="005A2D45" w:rsidRDefault="0076615D" w:rsidP="0076615D">
      <w:pPr>
        <w:bidi w:val="0"/>
        <w:spacing w:before="100" w:beforeAutospacing="1" w:after="100" w:afterAutospacing="1" w:line="360" w:lineRule="auto"/>
        <w:jc w:val="both"/>
        <w:outlineLvl w:val="3"/>
        <w:rPr>
          <w:rFonts w:asciiTheme="majorBidi" w:hAnsiTheme="majorBidi" w:cstheme="majorBidi"/>
          <w:sz w:val="28"/>
          <w:szCs w:val="28"/>
          <w:lang w:bidi="ar-EG"/>
        </w:rPr>
      </w:pPr>
      <w:r w:rsidRPr="005A2D45">
        <w:rPr>
          <w:rFonts w:asciiTheme="majorBidi" w:hAnsiTheme="majorBidi" w:cstheme="majorBidi"/>
          <w:sz w:val="28"/>
          <w:szCs w:val="28"/>
          <w:lang w:bidi="ar-EG"/>
        </w:rPr>
        <w:t xml:space="preserve">KEYWORDS: </w:t>
      </w:r>
    </w:p>
    <w:p w:rsidR="0076615D" w:rsidRPr="005A2D45" w:rsidRDefault="0076615D" w:rsidP="0076615D">
      <w:pPr>
        <w:bidi w:val="0"/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5A2D45">
        <w:rPr>
          <w:rFonts w:asciiTheme="majorBidi" w:hAnsiTheme="majorBidi" w:cstheme="majorBidi"/>
          <w:sz w:val="28"/>
          <w:szCs w:val="28"/>
          <w:lang w:bidi="ar-EG"/>
        </w:rPr>
        <w:t>Apo</w:t>
      </w:r>
      <w:r>
        <w:rPr>
          <w:rFonts w:asciiTheme="majorBidi" w:hAnsiTheme="majorBidi" w:cstheme="majorBidi"/>
          <w:sz w:val="28"/>
          <w:szCs w:val="28"/>
          <w:lang w:bidi="ar-EG"/>
        </w:rPr>
        <w:t>ptosis,</w:t>
      </w:r>
      <w:r w:rsidRPr="005A2D45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EG"/>
        </w:rPr>
        <w:t>caspase-3,</w:t>
      </w:r>
      <w:r w:rsidRPr="005A2D45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EG"/>
        </w:rPr>
        <w:t>CD 34,</w:t>
      </w:r>
      <w:r w:rsidRPr="005A2D45">
        <w:rPr>
          <w:rFonts w:asciiTheme="majorBidi" w:hAnsiTheme="majorBidi" w:cstheme="majorBidi"/>
          <w:sz w:val="28"/>
          <w:szCs w:val="28"/>
          <w:lang w:bidi="ar-EG"/>
        </w:rPr>
        <w:t xml:space="preserve"> pre-</w:t>
      </w:r>
      <w:proofErr w:type="spellStart"/>
      <w:r w:rsidRPr="005A2D45">
        <w:rPr>
          <w:rFonts w:asciiTheme="majorBidi" w:hAnsiTheme="majorBidi" w:cstheme="majorBidi"/>
          <w:sz w:val="28"/>
          <w:szCs w:val="28"/>
          <w:lang w:bidi="ar-EG"/>
        </w:rPr>
        <w:t>eclampsia</w:t>
      </w:r>
      <w:proofErr w:type="spellEnd"/>
      <w:r w:rsidRPr="005A2D45">
        <w:rPr>
          <w:rFonts w:asciiTheme="majorBidi" w:hAnsiTheme="majorBidi" w:cstheme="majorBidi"/>
          <w:sz w:val="28"/>
          <w:szCs w:val="28"/>
          <w:lang w:bidi="ar-EG"/>
        </w:rPr>
        <w:t xml:space="preserve">, FGR, </w:t>
      </w:r>
      <w:proofErr w:type="spellStart"/>
      <w:r w:rsidRPr="005A2D45">
        <w:rPr>
          <w:rFonts w:asciiTheme="majorBidi" w:hAnsiTheme="majorBidi" w:cstheme="majorBidi"/>
          <w:sz w:val="28"/>
          <w:szCs w:val="28"/>
          <w:lang w:bidi="ar-EG"/>
        </w:rPr>
        <w:t>endoglin</w:t>
      </w:r>
      <w:proofErr w:type="spellEnd"/>
      <w:r w:rsidRPr="005A2D45">
        <w:rPr>
          <w:rFonts w:asciiTheme="majorBidi" w:hAnsiTheme="majorBidi" w:cstheme="majorBidi"/>
          <w:sz w:val="28"/>
          <w:szCs w:val="28"/>
          <w:lang w:bidi="ar-EG"/>
        </w:rPr>
        <w:t>, CD105</w:t>
      </w:r>
    </w:p>
    <w:p w:rsidR="0076615D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sz w:val="28"/>
          <w:szCs w:val="28"/>
          <w:lang w:bidi="ar-EG"/>
        </w:rPr>
        <w:t>List of contributors</w:t>
      </w:r>
    </w:p>
    <w:p w:rsidR="0076615D" w:rsidRDefault="0076615D" w:rsidP="0076615D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Alaa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Wageh</w:t>
      </w:r>
      <w:proofErr w:type="spellEnd"/>
      <w:r>
        <w:rPr>
          <w:rFonts w:asciiTheme="majorBidi" w:hAnsiTheme="majorBidi" w:cstheme="majorBidi"/>
          <w:sz w:val="28"/>
          <w:szCs w:val="28"/>
        </w:rPr>
        <w:t>: Obstetrics and Gynecology department Faculty of Medicine, Mansoura University Egypt</w:t>
      </w:r>
    </w:p>
    <w:p w:rsidR="0076615D" w:rsidRDefault="0076615D" w:rsidP="0076615D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proofErr w:type="spellStart"/>
      <w:r>
        <w:rPr>
          <w:rFonts w:asciiTheme="majorBidi" w:hAnsiTheme="majorBidi" w:cstheme="majorBidi"/>
          <w:sz w:val="28"/>
          <w:szCs w:val="28"/>
        </w:rPr>
        <w:t>Reham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Mohamed </w:t>
      </w:r>
      <w:proofErr w:type="spellStart"/>
      <w:r>
        <w:rPr>
          <w:rFonts w:asciiTheme="majorBidi" w:hAnsiTheme="majorBidi" w:cstheme="majorBidi"/>
          <w:sz w:val="28"/>
          <w:szCs w:val="28"/>
        </w:rPr>
        <w:t>Nagib</w:t>
      </w:r>
      <w:proofErr w:type="spellEnd"/>
      <w:r>
        <w:rPr>
          <w:rFonts w:asciiTheme="majorBidi" w:hAnsiTheme="majorBidi" w:cstheme="majorBidi"/>
          <w:sz w:val="28"/>
          <w:szCs w:val="28"/>
        </w:rPr>
        <w:t>: Pathology department, Faculty of medicine, Mansoura University, Egypt</w:t>
      </w:r>
    </w:p>
    <w:p w:rsidR="0076615D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76615D" w:rsidRPr="007B3381" w:rsidRDefault="0076615D" w:rsidP="0076615D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p w:rsidR="00304731" w:rsidRDefault="00304731">
      <w:pPr>
        <w:rPr>
          <w:rFonts w:hint="cs"/>
          <w:lang w:bidi="ar-EG"/>
        </w:rPr>
      </w:pPr>
    </w:p>
    <w:sectPr w:rsidR="00304731" w:rsidSect="0025711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15D"/>
    <w:rsid w:val="0025711F"/>
    <w:rsid w:val="00304731"/>
    <w:rsid w:val="0076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15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76615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15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76615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gehala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1743</Characters>
  <Application>Microsoft Office Word</Application>
  <DocSecurity>0</DocSecurity>
  <Lines>14</Lines>
  <Paragraphs>4</Paragraphs>
  <ScaleCrop>false</ScaleCrop>
  <Company>Ahmed-Under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CRIZMA-PC&amp;LAPTOP</dc:creator>
  <cp:lastModifiedBy>CRIZMA-PC&amp;LAPTOP</cp:lastModifiedBy>
  <cp:revision>1</cp:revision>
  <dcterms:created xsi:type="dcterms:W3CDTF">2017-07-23T13:11:00Z</dcterms:created>
  <dcterms:modified xsi:type="dcterms:W3CDTF">2017-07-23T13:14:00Z</dcterms:modified>
</cp:coreProperties>
</file>