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1C5EB" w14:textId="4567684A" w:rsidR="00BE5DE1" w:rsidRPr="00BE5DE1" w:rsidRDefault="00BE5DE1" w:rsidP="00BE5DE1">
      <w:pPr>
        <w:pStyle w:val="BDAbstract"/>
        <w:spacing w:line="360" w:lineRule="auto"/>
        <w:contextualSpacing/>
        <w:rPr>
          <w:rFonts w:ascii="Times New Roman" w:hAnsi="Times New Roman"/>
          <w:b/>
          <w:szCs w:val="24"/>
        </w:rPr>
      </w:pPr>
      <w:r w:rsidRPr="00BE5DE1">
        <w:rPr>
          <w:rFonts w:ascii="Times New Roman" w:hAnsi="Times New Roman"/>
          <w:b/>
          <w:szCs w:val="24"/>
        </w:rPr>
        <w:t>Chronic exposure to low environmental concentrations and legal aquaculture doses of antibiotics cause systemic adverse effects in Nile tilapia (</w:t>
      </w:r>
      <w:r w:rsidRPr="00BE5DE1">
        <w:rPr>
          <w:rFonts w:ascii="Times New Roman" w:hAnsi="Times New Roman"/>
          <w:b/>
          <w:i/>
          <w:szCs w:val="24"/>
        </w:rPr>
        <w:t>Oreochromis niloticus</w:t>
      </w:r>
      <w:r w:rsidRPr="00BE5DE1">
        <w:rPr>
          <w:rFonts w:ascii="Times New Roman" w:hAnsi="Times New Roman"/>
          <w:b/>
          <w:szCs w:val="24"/>
        </w:rPr>
        <w:t>) and provoke differential human health risk</w:t>
      </w:r>
    </w:p>
    <w:p w14:paraId="040DEA86" w14:textId="27E040AE" w:rsidR="00BE5DE1" w:rsidRPr="00BE5DE1" w:rsidRDefault="00BE5DE1" w:rsidP="00BE5DE1">
      <w:pPr>
        <w:pStyle w:val="BDAbstract"/>
        <w:spacing w:line="360" w:lineRule="auto"/>
        <w:contextualSpacing/>
        <w:rPr>
          <w:rFonts w:ascii="Times New Roman" w:hAnsi="Times New Roman"/>
          <w:szCs w:val="24"/>
        </w:rPr>
      </w:pPr>
      <w:r w:rsidRPr="00BE5DE1">
        <w:rPr>
          <w:rFonts w:ascii="Times New Roman" w:hAnsi="Times New Roman"/>
          <w:szCs w:val="24"/>
        </w:rPr>
        <w:t>Antibiotics used globally to treat human and animal diseases exist ubiquitously in the environment at low doses because of misuse, overdose and poor absorption after ingestion, coupled with their high-water solubility and degradation resistance. However, the systemic chronic effects of exposure to low environmental concentrations of antibiotics (LECAs) and legal aquaculture doses</w:t>
      </w:r>
      <w:r w:rsidRPr="00BE5DE1" w:rsidDel="0054694C">
        <w:rPr>
          <w:rFonts w:ascii="Times New Roman" w:hAnsi="Times New Roman"/>
          <w:szCs w:val="24"/>
        </w:rPr>
        <w:t xml:space="preserve"> </w:t>
      </w:r>
      <w:r w:rsidRPr="00BE5DE1">
        <w:rPr>
          <w:rFonts w:ascii="Times New Roman" w:hAnsi="Times New Roman"/>
          <w:szCs w:val="24"/>
        </w:rPr>
        <w:t xml:space="preserve">of antibiotics (LADAs) in fish and their human health risk are currently unknown. </w:t>
      </w:r>
      <w:r>
        <w:rPr>
          <w:rFonts w:ascii="Times New Roman" w:hAnsi="Times New Roman"/>
          <w:szCs w:val="24"/>
        </w:rPr>
        <w:t>We</w:t>
      </w:r>
      <w:r w:rsidRPr="00BE5DE1">
        <w:rPr>
          <w:rFonts w:ascii="Times New Roman" w:hAnsi="Times New Roman"/>
          <w:szCs w:val="24"/>
        </w:rPr>
        <w:t xml:space="preserve"> investigate</w:t>
      </w:r>
      <w:r>
        <w:rPr>
          <w:rFonts w:ascii="Times New Roman" w:hAnsi="Times New Roman"/>
          <w:szCs w:val="24"/>
        </w:rPr>
        <w:t>d</w:t>
      </w:r>
      <w:r w:rsidRPr="00BE5DE1">
        <w:rPr>
          <w:rFonts w:ascii="Times New Roman" w:hAnsi="Times New Roman"/>
          <w:szCs w:val="24"/>
        </w:rPr>
        <w:t xml:space="preserve"> the </w:t>
      </w:r>
      <w:r w:rsidRPr="00BE5DE1">
        <w:rPr>
          <w:rFonts w:ascii="Times New Roman" w:hAnsi="Times New Roman"/>
          <w:i/>
          <w:szCs w:val="24"/>
        </w:rPr>
        <w:t>in vivo</w:t>
      </w:r>
      <w:r w:rsidRPr="00BE5DE1">
        <w:rPr>
          <w:rFonts w:ascii="Times New Roman" w:hAnsi="Times New Roman"/>
          <w:szCs w:val="24"/>
        </w:rPr>
        <w:t xml:space="preserve"> chronic effects of exposure to LECAs and LADAs using oxytetracycline (OTC) and sulfamethoxazole (SMZ) in Nile tilapia, (</w:t>
      </w:r>
      <w:r w:rsidRPr="00BE5DE1">
        <w:rPr>
          <w:rFonts w:ascii="Times New Roman" w:hAnsi="Times New Roman"/>
          <w:i/>
          <w:szCs w:val="24"/>
        </w:rPr>
        <w:t>Oreochromis n</w:t>
      </w:r>
      <w:bookmarkStart w:id="0" w:name="_GoBack"/>
      <w:bookmarkEnd w:id="0"/>
      <w:r w:rsidRPr="00BE5DE1">
        <w:rPr>
          <w:rFonts w:ascii="Times New Roman" w:hAnsi="Times New Roman"/>
          <w:i/>
          <w:szCs w:val="24"/>
        </w:rPr>
        <w:t>iloticus</w:t>
      </w:r>
      <w:r w:rsidRPr="00BE5DE1">
        <w:rPr>
          <w:rFonts w:ascii="Times New Roman" w:hAnsi="Times New Roman"/>
          <w:szCs w:val="24"/>
        </w:rPr>
        <w:t xml:space="preserve">) and their human health risk. Twenty </w:t>
      </w:r>
      <w:r w:rsidRPr="00BE5DE1">
        <w:rPr>
          <w:rFonts w:ascii="Times New Roman" w:hAnsi="Times New Roman"/>
          <w:i/>
          <w:szCs w:val="24"/>
        </w:rPr>
        <w:t>O. niloticus</w:t>
      </w:r>
      <w:r w:rsidRPr="00BE5DE1">
        <w:rPr>
          <w:rFonts w:ascii="Times New Roman" w:hAnsi="Times New Roman"/>
          <w:szCs w:val="24"/>
        </w:rPr>
        <w:t xml:space="preserve"> weighing 27.73 ± 0.81 g were exposed to water containing LECAs (OTC at </w:t>
      </w:r>
      <w:r w:rsidRPr="00BE5DE1">
        <w:rPr>
          <w:rFonts w:ascii="Times New Roman" w:hAnsi="Times New Roman"/>
          <w:color w:val="000000"/>
          <w:szCs w:val="24"/>
          <w:lang w:val="en-GB" w:eastAsia="zh-CN"/>
        </w:rPr>
        <w:t xml:space="preserve">420 ng/L and SMZ at 260 ng/L) and diets supplemented with LADAs </w:t>
      </w:r>
      <w:r w:rsidRPr="00BE5DE1">
        <w:rPr>
          <w:rFonts w:ascii="Times New Roman" w:hAnsi="Times New Roman"/>
          <w:szCs w:val="24"/>
        </w:rPr>
        <w:t xml:space="preserve">(OTC </w:t>
      </w:r>
      <w:r w:rsidRPr="00BE5DE1">
        <w:rPr>
          <w:color w:val="000000"/>
          <w:szCs w:val="24"/>
          <w:lang w:val="en-GB" w:eastAsia="zh-CN"/>
        </w:rPr>
        <w:t>80 mg/kg/day</w:t>
      </w:r>
      <w:r w:rsidRPr="00BE5DE1">
        <w:rPr>
          <w:rFonts w:ascii="Times New Roman" w:hAnsi="Times New Roman"/>
          <w:szCs w:val="24"/>
        </w:rPr>
        <w:t xml:space="preserve"> and SMZ</w:t>
      </w:r>
      <w:r w:rsidRPr="00BE5DE1">
        <w:rPr>
          <w:rFonts w:ascii="Times New Roman" w:hAnsi="Times New Roman"/>
          <w:color w:val="000000" w:themeColor="text1"/>
          <w:szCs w:val="24"/>
        </w:rPr>
        <w:t xml:space="preserve"> </w:t>
      </w:r>
      <w:r w:rsidRPr="00BE5DE1">
        <w:rPr>
          <w:color w:val="000000"/>
          <w:szCs w:val="24"/>
          <w:lang w:val="en-GB" w:eastAsia="zh-CN"/>
        </w:rPr>
        <w:t>100 mg/kg/day</w:t>
      </w:r>
      <w:r w:rsidRPr="00BE5DE1">
        <w:rPr>
          <w:rFonts w:ascii="Times New Roman" w:hAnsi="Times New Roman"/>
          <w:color w:val="000000" w:themeColor="text1"/>
          <w:szCs w:val="24"/>
        </w:rPr>
        <w:t>)</w:t>
      </w:r>
      <w:r w:rsidRPr="00BE5DE1">
        <w:rPr>
          <w:rFonts w:ascii="Times New Roman" w:hAnsi="Times New Roman"/>
          <w:szCs w:val="24"/>
        </w:rPr>
        <w:t xml:space="preserve"> for twelve weeks. General </w:t>
      </w:r>
      <w:r w:rsidRPr="00BE5DE1">
        <w:rPr>
          <w:rFonts w:ascii="Times New Roman" w:hAnsi="Times New Roman" w:hint="eastAsia"/>
          <w:szCs w:val="24"/>
          <w:lang w:eastAsia="zh-CN"/>
        </w:rPr>
        <w:t>physiological</w:t>
      </w:r>
      <w:r w:rsidRPr="00BE5DE1">
        <w:rPr>
          <w:rFonts w:ascii="Times New Roman" w:hAnsi="Times New Roman"/>
          <w:szCs w:val="24"/>
        </w:rPr>
        <w:t xml:space="preserve"> functions,</w:t>
      </w:r>
      <w:r w:rsidRPr="00BE5DE1">
        <w:rPr>
          <w:rFonts w:ascii="Times New Roman" w:hAnsi="Times New Roman" w:hint="eastAsia"/>
          <w:szCs w:val="24"/>
          <w:lang w:eastAsia="zh-CN"/>
        </w:rPr>
        <w:t xml:space="preserve"> metabolic activities,</w:t>
      </w:r>
      <w:r w:rsidRPr="00BE5DE1">
        <w:rPr>
          <w:rFonts w:ascii="Times New Roman" w:hAnsi="Times New Roman"/>
          <w:szCs w:val="24"/>
        </w:rPr>
        <w:t xml:space="preserve"> intestinal and hepatic health were </w:t>
      </w:r>
      <w:r w:rsidRPr="00BE5DE1">
        <w:rPr>
          <w:rFonts w:ascii="Times New Roman" w:hAnsi="Times New Roman" w:hint="eastAsia"/>
          <w:szCs w:val="24"/>
          <w:lang w:eastAsia="zh-CN"/>
        </w:rPr>
        <w:t>systemically</w:t>
      </w:r>
      <w:r w:rsidRPr="00BE5DE1">
        <w:rPr>
          <w:rFonts w:ascii="Times New Roman" w:hAnsi="Times New Roman"/>
          <w:szCs w:val="24"/>
        </w:rPr>
        <w:t xml:space="preserve"> evaluated</w:t>
      </w:r>
      <w:r w:rsidRPr="00BE5DE1">
        <w:rPr>
          <w:rFonts w:ascii="Times New Roman" w:hAnsi="Times New Roman" w:hint="eastAsia"/>
          <w:szCs w:val="24"/>
          <w:lang w:eastAsia="zh-CN"/>
        </w:rPr>
        <w:t>.</w:t>
      </w:r>
      <w:r w:rsidRPr="00BE5DE1">
        <w:rPr>
          <w:rFonts w:ascii="Times New Roman" w:hAnsi="Times New Roman"/>
          <w:szCs w:val="24"/>
        </w:rPr>
        <w:t xml:space="preserve"> The possible human health risks </w:t>
      </w:r>
      <w:r w:rsidRPr="00BE5DE1">
        <w:rPr>
          <w:rFonts w:ascii="Times New Roman" w:hAnsi="Times New Roman" w:hint="eastAsia"/>
          <w:szCs w:val="24"/>
          <w:lang w:eastAsia="zh-CN"/>
        </w:rPr>
        <w:t xml:space="preserve">of the consumption of the experimental </w:t>
      </w:r>
      <w:r w:rsidRPr="00BE5DE1">
        <w:rPr>
          <w:rFonts w:ascii="Times New Roman" w:hAnsi="Times New Roman"/>
          <w:szCs w:val="24"/>
          <w:lang w:eastAsia="zh-CN"/>
        </w:rPr>
        <w:t xml:space="preserve">Nile </w:t>
      </w:r>
      <w:r w:rsidRPr="00BE5DE1">
        <w:rPr>
          <w:rFonts w:ascii="Times New Roman" w:hAnsi="Times New Roman" w:hint="eastAsia"/>
          <w:szCs w:val="24"/>
          <w:lang w:eastAsia="zh-CN"/>
        </w:rPr>
        <w:t>tilapia fillet</w:t>
      </w:r>
      <w:r w:rsidRPr="00BE5DE1">
        <w:rPr>
          <w:rFonts w:ascii="Times New Roman" w:hAnsi="Times New Roman"/>
          <w:szCs w:val="24"/>
          <w:lang w:eastAsia="zh-CN"/>
        </w:rPr>
        <w:t>s</w:t>
      </w:r>
      <w:r w:rsidRPr="00BE5DE1">
        <w:rPr>
          <w:rFonts w:ascii="Times New Roman" w:hAnsi="Times New Roman" w:hint="eastAsia"/>
          <w:szCs w:val="24"/>
          <w:lang w:eastAsia="zh-CN"/>
        </w:rPr>
        <w:t xml:space="preserve"> </w:t>
      </w:r>
      <w:r w:rsidRPr="00BE5DE1">
        <w:rPr>
          <w:rFonts w:ascii="Times New Roman" w:hAnsi="Times New Roman"/>
          <w:szCs w:val="24"/>
        </w:rPr>
        <w:t xml:space="preserve">in adults and children were assessed by using risk quotient. After exposure, </w:t>
      </w:r>
      <w:bookmarkStart w:id="1" w:name="_Hlk500926969"/>
      <w:r w:rsidRPr="00BE5DE1">
        <w:rPr>
          <w:rFonts w:ascii="Times New Roman" w:hAnsi="Times New Roman"/>
          <w:szCs w:val="24"/>
        </w:rPr>
        <w:t xml:space="preserve">we observed retarded growth performance accompanied by reduced nutrients digestibility, feed efficiency, organ indices, and lipid body composition in treated fish. Antibiotics distorted intestinal morphological features subsequently induced microbiota dysbiosis and suppressed intestinal tight junction proteins. Exposure of fish to LECAs and LADAs induced oxidative stress, suppressed innate immunity, stimulated inflammatory and detoxification responses, concomitantly inhibited antioxidant capacity and caused lipid peroxidation in intestine and liver organs. Both LECAs and LADAs enhanced gluconeogenesis, inhibited lipogenesis and fatty acid beta oxidation in intestine and liver organs. The exposure of fish to LECAs and LADAs induced anaerobic glycolytic pathway and affected intestinal fat catabolism in intestine while halted aerobic glycolysis, increased hepatic fat catabolism, and induced DNA damage in liver. The hazard risk quotient in children for fish treated with OTCD was &gt; 1 indicating human health risk. </w:t>
      </w:r>
      <w:bookmarkEnd w:id="1"/>
    </w:p>
    <w:p w14:paraId="24EAB793" w14:textId="1A6595C3" w:rsidR="00BE5DE1" w:rsidRDefault="00BE5DE1" w:rsidP="00BE5DE1">
      <w:pPr>
        <w:pStyle w:val="BDAbstract"/>
        <w:spacing w:before="0" w:after="0" w:line="360" w:lineRule="auto"/>
        <w:contextualSpacing/>
        <w:rPr>
          <w:rFonts w:ascii="Times New Roman" w:hAnsi="Times New Roman"/>
          <w:szCs w:val="24"/>
        </w:rPr>
      </w:pPr>
      <w:r w:rsidRPr="00BE5DE1">
        <w:rPr>
          <w:rFonts w:ascii="Times New Roman" w:hAnsi="Times New Roman"/>
          <w:szCs w:val="24"/>
        </w:rPr>
        <w:t xml:space="preserve">Overall, </w:t>
      </w:r>
      <w:bookmarkStart w:id="2" w:name="_Hlk500927670"/>
      <w:r w:rsidRPr="00BE5DE1">
        <w:rPr>
          <w:rFonts w:ascii="Times New Roman" w:hAnsi="Times New Roman"/>
          <w:szCs w:val="24"/>
        </w:rPr>
        <w:t xml:space="preserve">both LECAs and LADAs </w:t>
      </w:r>
      <w:r w:rsidRPr="00BE5DE1">
        <w:rPr>
          <w:rFonts w:ascii="Times New Roman" w:hAnsi="Times New Roman"/>
          <w:szCs w:val="24"/>
          <w:lang w:eastAsia="zh-CN"/>
        </w:rPr>
        <w:t xml:space="preserve">impair general </w:t>
      </w:r>
      <w:r w:rsidRPr="00BE5DE1">
        <w:rPr>
          <w:rFonts w:ascii="Times New Roman" w:hAnsi="Times New Roman" w:hint="eastAsia"/>
          <w:szCs w:val="24"/>
          <w:lang w:eastAsia="zh-CN"/>
        </w:rPr>
        <w:t>physiological</w:t>
      </w:r>
      <w:r w:rsidRPr="00BE5DE1">
        <w:rPr>
          <w:rFonts w:ascii="Times New Roman" w:hAnsi="Times New Roman"/>
          <w:szCs w:val="24"/>
          <w:lang w:eastAsia="zh-CN"/>
        </w:rPr>
        <w:t xml:space="preserve"> functions, nutritional metabolism, and compromise fish immune system. Consumption of fish fed with legal OTC</w:t>
      </w:r>
      <w:r w:rsidRPr="00BE5DE1">
        <w:rPr>
          <w:rFonts w:ascii="Times New Roman" w:hAnsi="Times New Roman"/>
          <w:szCs w:val="24"/>
        </w:rPr>
        <w:t xml:space="preserve"> provoke health risk in children. Global stringent prohibition policy for use of antibiotics in aquaculture production </w:t>
      </w:r>
      <w:r w:rsidRPr="00BE5DE1">
        <w:rPr>
          <w:rFonts w:ascii="Times New Roman" w:hAnsi="Times New Roman"/>
          <w:szCs w:val="24"/>
        </w:rPr>
        <w:lastRenderedPageBreak/>
        <w:t>and strategies to limit their release into the environment are urgently required to protect human health.</w:t>
      </w:r>
      <w:r>
        <w:rPr>
          <w:rFonts w:ascii="Times New Roman" w:hAnsi="Times New Roman"/>
          <w:szCs w:val="24"/>
        </w:rPr>
        <w:t xml:space="preserve"> </w:t>
      </w:r>
      <w:bookmarkEnd w:id="2"/>
    </w:p>
    <w:p w14:paraId="4AA5F07C" w14:textId="77777777" w:rsidR="00BE5DE1" w:rsidRDefault="00BE5DE1"/>
    <w:sectPr w:rsidR="00BE5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DE1"/>
    <w:rsid w:val="00BE5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C2EB"/>
  <w15:chartTrackingRefBased/>
  <w15:docId w15:val="{1B81837F-D9D6-4E16-B9A6-22280349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Abstract">
    <w:name w:val="BD_Abstract"/>
    <w:basedOn w:val="Normal"/>
    <w:next w:val="Normal"/>
    <w:qFormat/>
    <w:rsid w:val="00BE5DE1"/>
    <w:pPr>
      <w:spacing w:before="360" w:after="360" w:line="480" w:lineRule="auto"/>
      <w:jc w:val="both"/>
    </w:pPr>
    <w:rPr>
      <w:rFonts w:ascii="Times" w:hAnsi="Times"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Limbu</dc:creator>
  <cp:keywords/>
  <dc:description/>
  <cp:lastModifiedBy>Samwel Limbu</cp:lastModifiedBy>
  <cp:revision>1</cp:revision>
  <dcterms:created xsi:type="dcterms:W3CDTF">2018-05-28T01:21:00Z</dcterms:created>
  <dcterms:modified xsi:type="dcterms:W3CDTF">2018-05-28T01:25:00Z</dcterms:modified>
</cp:coreProperties>
</file>