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30A847" w14:textId="5DDFE40E" w:rsidR="003764D0" w:rsidRDefault="003764D0" w:rsidP="003764D0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color w:val="000000"/>
          <w:sz w:val="36"/>
          <w:szCs w:val="36"/>
        </w:rPr>
      </w:pPr>
      <w:r w:rsidRPr="00E9670D">
        <w:rPr>
          <w:rFonts w:asciiTheme="majorBidi" w:hAnsiTheme="majorBidi" w:cstheme="majorBidi"/>
          <w:b/>
          <w:bCs/>
          <w:color w:val="000000"/>
          <w:sz w:val="36"/>
          <w:szCs w:val="36"/>
        </w:rPr>
        <w:t xml:space="preserve">HLA Sensitization in the Era of COVID-19 and the </w:t>
      </w:r>
      <w:r w:rsidR="00D13812">
        <w:rPr>
          <w:rFonts w:asciiTheme="majorBidi" w:hAnsiTheme="majorBidi" w:cstheme="majorBidi"/>
          <w:b/>
          <w:bCs/>
          <w:color w:val="000000"/>
          <w:sz w:val="36"/>
          <w:szCs w:val="36"/>
        </w:rPr>
        <w:t>I</w:t>
      </w:r>
      <w:r w:rsidRPr="00E9670D">
        <w:rPr>
          <w:rFonts w:asciiTheme="majorBidi" w:hAnsiTheme="majorBidi" w:cstheme="majorBidi"/>
          <w:b/>
          <w:bCs/>
          <w:color w:val="000000"/>
          <w:sz w:val="36"/>
          <w:szCs w:val="36"/>
        </w:rPr>
        <w:t xml:space="preserve">mpact on </w:t>
      </w:r>
      <w:r w:rsidR="00D13812">
        <w:rPr>
          <w:rFonts w:asciiTheme="majorBidi" w:hAnsiTheme="majorBidi" w:cstheme="majorBidi"/>
          <w:b/>
          <w:bCs/>
          <w:color w:val="000000"/>
          <w:sz w:val="36"/>
          <w:szCs w:val="36"/>
        </w:rPr>
        <w:t>T</w:t>
      </w:r>
      <w:r w:rsidRPr="00E9670D">
        <w:rPr>
          <w:rFonts w:asciiTheme="majorBidi" w:hAnsiTheme="majorBidi" w:cstheme="majorBidi"/>
          <w:b/>
          <w:bCs/>
          <w:color w:val="000000"/>
          <w:sz w:val="36"/>
          <w:szCs w:val="36"/>
        </w:rPr>
        <w:t xml:space="preserve">ransplant </w:t>
      </w:r>
      <w:r w:rsidR="00552B86">
        <w:rPr>
          <w:rFonts w:asciiTheme="majorBidi" w:hAnsiTheme="majorBidi" w:cstheme="majorBidi"/>
          <w:b/>
          <w:bCs/>
          <w:color w:val="000000"/>
          <w:sz w:val="36"/>
          <w:szCs w:val="36"/>
        </w:rPr>
        <w:t>Laboratories.</w:t>
      </w:r>
    </w:p>
    <w:p w14:paraId="52B495D1" w14:textId="77777777" w:rsidR="003764D0" w:rsidRPr="00E9670D" w:rsidRDefault="003764D0" w:rsidP="003764D0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color w:val="000000"/>
          <w:sz w:val="36"/>
          <w:szCs w:val="36"/>
        </w:rPr>
      </w:pPr>
    </w:p>
    <w:p w14:paraId="74E44D96" w14:textId="48839478" w:rsidR="003764D0" w:rsidRPr="00E9670D" w:rsidRDefault="008712F1" w:rsidP="008712F1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color w:val="000000"/>
          <w:sz w:val="24"/>
          <w:szCs w:val="24"/>
        </w:rPr>
      </w:pPr>
      <w:r w:rsidRPr="00E9670D">
        <w:rPr>
          <w:rFonts w:asciiTheme="majorBidi" w:hAnsiTheme="majorBidi" w:cstheme="majorBidi"/>
          <w:b/>
          <w:bCs/>
          <w:color w:val="000000"/>
          <w:sz w:val="24"/>
          <w:szCs w:val="24"/>
        </w:rPr>
        <w:t>Rabab Ali Al Attas</w:t>
      </w:r>
      <w:r w:rsidRPr="00E9670D">
        <w:rPr>
          <w:rFonts w:asciiTheme="majorBidi" w:hAnsiTheme="majorBidi" w:cstheme="majorBidi"/>
          <w:b/>
          <w:bCs/>
          <w:color w:val="0081AC"/>
          <w:sz w:val="24"/>
          <w:szCs w:val="24"/>
        </w:rPr>
        <w:t>*</w:t>
      </w:r>
      <w:r>
        <w:rPr>
          <w:rFonts w:asciiTheme="majorBidi" w:hAnsiTheme="majorBidi" w:cstheme="majorBidi"/>
          <w:b/>
          <w:bCs/>
          <w:color w:val="000000"/>
          <w:sz w:val="24"/>
          <w:szCs w:val="24"/>
        </w:rPr>
        <w:t xml:space="preserve">, </w:t>
      </w:r>
      <w:r w:rsidR="003764D0" w:rsidRPr="00E9670D">
        <w:rPr>
          <w:rFonts w:asciiTheme="majorBidi" w:hAnsiTheme="majorBidi" w:cstheme="majorBidi"/>
          <w:b/>
          <w:bCs/>
          <w:color w:val="000000"/>
          <w:sz w:val="24"/>
          <w:szCs w:val="24"/>
        </w:rPr>
        <w:t>Mohammad Awaji, Amani Mohammed, Kenana Alajlan, Alanoud Alshami</w:t>
      </w:r>
      <w:r>
        <w:rPr>
          <w:rFonts w:asciiTheme="majorBidi" w:hAnsiTheme="majorBidi" w:cstheme="majorBidi"/>
          <w:b/>
          <w:bCs/>
          <w:color w:val="000000"/>
          <w:sz w:val="24"/>
          <w:szCs w:val="24"/>
        </w:rPr>
        <w:t>.</w:t>
      </w:r>
      <w:r w:rsidR="003764D0" w:rsidRPr="00E9670D">
        <w:rPr>
          <w:rFonts w:asciiTheme="majorBidi" w:hAnsiTheme="majorBidi" w:cstheme="majorBidi"/>
          <w:b/>
          <w:bCs/>
          <w:color w:val="000000"/>
          <w:sz w:val="24"/>
          <w:szCs w:val="24"/>
        </w:rPr>
        <w:t xml:space="preserve"> </w:t>
      </w:r>
    </w:p>
    <w:p w14:paraId="75816B73" w14:textId="18CCAB46" w:rsidR="003764D0" w:rsidRPr="002A0800" w:rsidRDefault="003764D0" w:rsidP="003764D0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color w:val="000000"/>
          <w:sz w:val="24"/>
          <w:szCs w:val="24"/>
        </w:rPr>
      </w:pPr>
      <w:r w:rsidRPr="002A0800">
        <w:rPr>
          <w:rFonts w:asciiTheme="majorBidi" w:hAnsiTheme="majorBidi" w:cstheme="majorBidi"/>
          <w:color w:val="000000"/>
          <w:sz w:val="24"/>
          <w:szCs w:val="24"/>
        </w:rPr>
        <w:t>Histocompatibility &amp; Immunogenetics Laboratory, Department of Pathology and Laboratory Medicine, King Fahad Specialist Hospital-</w:t>
      </w:r>
    </w:p>
    <w:p w14:paraId="3C469C06" w14:textId="41D3C085" w:rsidR="003764D0" w:rsidRPr="002A0800" w:rsidRDefault="003764D0" w:rsidP="00EE11AC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color w:val="000000"/>
          <w:sz w:val="24"/>
          <w:szCs w:val="24"/>
        </w:rPr>
      </w:pPr>
      <w:r w:rsidRPr="002A0800">
        <w:rPr>
          <w:rFonts w:asciiTheme="majorBidi" w:hAnsiTheme="majorBidi" w:cstheme="majorBidi"/>
          <w:color w:val="000000"/>
          <w:sz w:val="24"/>
          <w:szCs w:val="24"/>
        </w:rPr>
        <w:t xml:space="preserve">Dammam, Dammam, Saudi Arabia; </w:t>
      </w:r>
    </w:p>
    <w:p w14:paraId="7BDC6CEA" w14:textId="77777777" w:rsidR="003764D0" w:rsidRPr="002A0800" w:rsidRDefault="003764D0" w:rsidP="003764D0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color w:val="000000"/>
          <w:sz w:val="24"/>
          <w:szCs w:val="24"/>
        </w:rPr>
      </w:pPr>
    </w:p>
    <w:p w14:paraId="524B4BF0" w14:textId="77777777" w:rsidR="003764D0" w:rsidRDefault="003764D0" w:rsidP="003764D0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color w:val="000000"/>
          <w:sz w:val="32"/>
          <w:szCs w:val="32"/>
        </w:rPr>
      </w:pPr>
      <w:r w:rsidRPr="00E9670D">
        <w:rPr>
          <w:rFonts w:asciiTheme="majorBidi" w:hAnsiTheme="majorBidi" w:cstheme="majorBidi"/>
          <w:b/>
          <w:bCs/>
          <w:color w:val="000000"/>
          <w:sz w:val="32"/>
          <w:szCs w:val="32"/>
        </w:rPr>
        <w:t>ABSTRACT</w:t>
      </w:r>
    </w:p>
    <w:p w14:paraId="2DAD04A4" w14:textId="77777777" w:rsidR="003764D0" w:rsidRPr="00E9670D" w:rsidRDefault="003764D0" w:rsidP="00552B86">
      <w:pPr>
        <w:autoSpaceDE w:val="0"/>
        <w:autoSpaceDN w:val="0"/>
        <w:adjustRightInd w:val="0"/>
        <w:spacing w:after="0" w:line="276" w:lineRule="auto"/>
        <w:rPr>
          <w:rFonts w:asciiTheme="majorBidi" w:hAnsiTheme="majorBidi" w:cstheme="majorBidi"/>
          <w:b/>
          <w:bCs/>
          <w:color w:val="000000"/>
          <w:sz w:val="32"/>
          <w:szCs w:val="32"/>
        </w:rPr>
      </w:pPr>
    </w:p>
    <w:p w14:paraId="2475DE8D" w14:textId="264C186E" w:rsidR="0039129E" w:rsidRPr="00E83984" w:rsidRDefault="0039129E" w:rsidP="00552B86">
      <w:pPr>
        <w:spacing w:after="80" w:line="276" w:lineRule="auto"/>
        <w:jc w:val="both"/>
        <w:rPr>
          <w:rFonts w:asciiTheme="majorBidi" w:hAnsiTheme="majorBidi" w:cstheme="majorBidi"/>
          <w:sz w:val="28"/>
          <w:szCs w:val="28"/>
        </w:rPr>
      </w:pPr>
      <w:r w:rsidRPr="00E83984">
        <w:rPr>
          <w:rFonts w:asciiTheme="majorBidi" w:hAnsiTheme="majorBidi" w:cstheme="majorBidi"/>
          <w:color w:val="212121"/>
          <w:sz w:val="28"/>
          <w:szCs w:val="28"/>
          <w:shd w:val="clear" w:color="auto" w:fill="FFFFFF"/>
        </w:rPr>
        <w:t xml:space="preserve">The global SARS-CoV-2 pandemic </w:t>
      </w:r>
      <w:r w:rsidRPr="00E83984">
        <w:rPr>
          <w:rFonts w:asciiTheme="majorBidi" w:hAnsiTheme="majorBidi" w:cstheme="majorBidi"/>
          <w:sz w:val="28"/>
          <w:szCs w:val="28"/>
        </w:rPr>
        <w:t xml:space="preserve">has affected significantly all aspects of our life including global economy, </w:t>
      </w:r>
      <w:r w:rsidRPr="00E83984">
        <w:rPr>
          <w:rFonts w:asciiTheme="majorBidi" w:hAnsiTheme="majorBidi" w:cstheme="majorBidi"/>
          <w:color w:val="212121"/>
          <w:sz w:val="28"/>
          <w:szCs w:val="28"/>
          <w:shd w:val="clear" w:color="auto" w:fill="FFFFFF"/>
        </w:rPr>
        <w:t>social life, health</w:t>
      </w:r>
      <w:r w:rsidRPr="00E83984">
        <w:rPr>
          <w:rFonts w:asciiTheme="majorBidi" w:hAnsiTheme="majorBidi" w:cstheme="majorBidi"/>
          <w:sz w:val="28"/>
          <w:szCs w:val="28"/>
        </w:rPr>
        <w:t xml:space="preserve"> care systems</w:t>
      </w:r>
      <w:r w:rsidRPr="00E83984">
        <w:rPr>
          <w:rFonts w:asciiTheme="majorBidi" w:hAnsiTheme="majorBidi" w:cstheme="majorBidi"/>
          <w:color w:val="212121"/>
          <w:sz w:val="28"/>
          <w:szCs w:val="28"/>
          <w:shd w:val="clear" w:color="auto" w:fill="FFFFFF"/>
        </w:rPr>
        <w:t xml:space="preserve"> </w:t>
      </w:r>
      <w:r w:rsidRPr="00E83984">
        <w:rPr>
          <w:rFonts w:asciiTheme="majorBidi" w:hAnsiTheme="majorBidi" w:cstheme="majorBidi"/>
          <w:sz w:val="28"/>
          <w:szCs w:val="28"/>
        </w:rPr>
        <w:t xml:space="preserve">and solid organ transplant laboratories were no exception.  Data on COVID-19 impact on HLA sensitization is scarce and sometime </w:t>
      </w:r>
      <w:r w:rsidR="00E83984" w:rsidRPr="00E83984">
        <w:rPr>
          <w:rFonts w:asciiTheme="majorBidi" w:hAnsiTheme="majorBidi" w:cstheme="majorBidi"/>
          <w:sz w:val="28"/>
          <w:szCs w:val="28"/>
        </w:rPr>
        <w:t xml:space="preserve">controversial. </w:t>
      </w:r>
      <w:r w:rsidRPr="00E83984">
        <w:rPr>
          <w:rFonts w:asciiTheme="majorBidi" w:hAnsiTheme="majorBidi" w:cstheme="majorBidi"/>
          <w:sz w:val="28"/>
          <w:szCs w:val="28"/>
        </w:rPr>
        <w:t xml:space="preserve">Moreover, the limited available data on the influence of SARS-CoV-2 on laboratory tests is confined to two case reports of emergence of positive crossmatches in previously non-sensitized transplant </w:t>
      </w:r>
      <w:r w:rsidR="00E83984" w:rsidRPr="00E83984">
        <w:rPr>
          <w:rFonts w:asciiTheme="majorBidi" w:hAnsiTheme="majorBidi" w:cstheme="majorBidi"/>
          <w:sz w:val="28"/>
          <w:szCs w:val="28"/>
        </w:rPr>
        <w:t>candidates while</w:t>
      </w:r>
      <w:r w:rsidRPr="00E83984">
        <w:rPr>
          <w:rFonts w:asciiTheme="majorBidi" w:hAnsiTheme="majorBidi" w:cstheme="majorBidi"/>
          <w:sz w:val="28"/>
          <w:szCs w:val="28"/>
          <w:shd w:val="clear" w:color="auto" w:fill="FFFFFF"/>
        </w:rPr>
        <w:t xml:space="preserve"> t</w:t>
      </w:r>
      <w:r w:rsidRPr="00E83984">
        <w:rPr>
          <w:rFonts w:asciiTheme="majorBidi" w:hAnsiTheme="majorBidi" w:cstheme="majorBidi"/>
          <w:sz w:val="28"/>
          <w:szCs w:val="28"/>
        </w:rPr>
        <w:t xml:space="preserve">he longest series on HLA-antibody productions post COVID-19 infection include only 18 wait- listed transplant </w:t>
      </w:r>
      <w:r w:rsidR="00E83984" w:rsidRPr="00E83984">
        <w:rPr>
          <w:rFonts w:asciiTheme="majorBidi" w:hAnsiTheme="majorBidi" w:cstheme="majorBidi"/>
          <w:sz w:val="28"/>
          <w:szCs w:val="28"/>
        </w:rPr>
        <w:t xml:space="preserve">candidates. </w:t>
      </w:r>
      <w:r w:rsidRPr="00E83984">
        <w:rPr>
          <w:rFonts w:asciiTheme="majorBidi" w:hAnsiTheme="majorBidi" w:cstheme="majorBidi"/>
          <w:sz w:val="28"/>
          <w:szCs w:val="28"/>
        </w:rPr>
        <w:t xml:space="preserve">Therefore, comprehensive studies focusing on the influence of SARS-CoV-2 on laboratory assays and the overall impact on pre-transplant work-ups are still lacking. </w:t>
      </w:r>
    </w:p>
    <w:p w14:paraId="2EDCB39B" w14:textId="77777777" w:rsidR="002645CF" w:rsidRDefault="0039129E" w:rsidP="00552B86">
      <w:pPr>
        <w:autoSpaceDE w:val="0"/>
        <w:autoSpaceDN w:val="0"/>
        <w:adjustRightInd w:val="0"/>
        <w:spacing w:after="0" w:line="276" w:lineRule="auto"/>
        <w:rPr>
          <w:rFonts w:asciiTheme="majorBidi" w:hAnsiTheme="majorBidi" w:cstheme="majorBidi"/>
          <w:color w:val="0070C0"/>
          <w:sz w:val="28"/>
          <w:szCs w:val="28"/>
        </w:rPr>
      </w:pPr>
      <w:r w:rsidRPr="00E83984">
        <w:rPr>
          <w:rFonts w:asciiTheme="majorBidi" w:hAnsiTheme="majorBidi" w:cstheme="majorBidi"/>
          <w:sz w:val="28"/>
          <w:szCs w:val="28"/>
        </w:rPr>
        <w:t xml:space="preserve">Polyclonal T cell activation following viral infection is not uncommon; the latter comprises a broad range of T- cells expressing unrelated epitopes including HLA- specificities commonly referred to as heterologous </w:t>
      </w:r>
      <w:r w:rsidR="002645CF" w:rsidRPr="00E83984">
        <w:rPr>
          <w:rFonts w:asciiTheme="majorBidi" w:hAnsiTheme="majorBidi" w:cstheme="majorBidi"/>
          <w:sz w:val="28"/>
          <w:szCs w:val="28"/>
        </w:rPr>
        <w:t>immunity</w:t>
      </w:r>
      <w:r w:rsidR="002645CF" w:rsidRPr="00E83984">
        <w:rPr>
          <w:rFonts w:asciiTheme="majorBidi" w:hAnsiTheme="majorBidi" w:cstheme="majorBidi"/>
          <w:color w:val="0070C0"/>
          <w:sz w:val="28"/>
          <w:szCs w:val="28"/>
        </w:rPr>
        <w:t xml:space="preserve">. </w:t>
      </w:r>
    </w:p>
    <w:p w14:paraId="1FBE4B30" w14:textId="08FAF1A6" w:rsidR="0039129E" w:rsidRPr="00E83984" w:rsidRDefault="0039129E" w:rsidP="00552B86">
      <w:pPr>
        <w:autoSpaceDE w:val="0"/>
        <w:autoSpaceDN w:val="0"/>
        <w:adjustRightInd w:val="0"/>
        <w:spacing w:after="0" w:line="276" w:lineRule="auto"/>
        <w:rPr>
          <w:rFonts w:asciiTheme="majorBidi" w:hAnsiTheme="majorBidi" w:cstheme="majorBidi"/>
          <w:color w:val="000000"/>
          <w:sz w:val="28"/>
          <w:szCs w:val="28"/>
        </w:rPr>
      </w:pPr>
      <w:r w:rsidRPr="00E83984">
        <w:rPr>
          <w:rFonts w:asciiTheme="majorBidi" w:hAnsiTheme="majorBidi" w:cstheme="majorBidi"/>
          <w:color w:val="000000"/>
          <w:sz w:val="28"/>
          <w:szCs w:val="28"/>
        </w:rPr>
        <w:t xml:space="preserve">It is well known that several viral infections are capable of triggering the formation of HLA </w:t>
      </w:r>
      <w:r w:rsidR="002645CF" w:rsidRPr="00E83984">
        <w:rPr>
          <w:rFonts w:asciiTheme="majorBidi" w:hAnsiTheme="majorBidi" w:cstheme="majorBidi"/>
          <w:color w:val="000000"/>
          <w:sz w:val="28"/>
          <w:szCs w:val="28"/>
        </w:rPr>
        <w:t>antibodies</w:t>
      </w:r>
      <w:r w:rsidR="002645CF" w:rsidRPr="00E83984">
        <w:rPr>
          <w:rFonts w:asciiTheme="majorBidi" w:hAnsiTheme="majorBidi" w:cstheme="majorBidi"/>
          <w:sz w:val="28"/>
          <w:szCs w:val="28"/>
        </w:rPr>
        <w:t>, Cytomegalo</w:t>
      </w:r>
      <w:r w:rsidRPr="00E83984">
        <w:rPr>
          <w:rFonts w:asciiTheme="majorBidi" w:hAnsiTheme="majorBidi" w:cstheme="majorBidi"/>
          <w:sz w:val="28"/>
          <w:szCs w:val="28"/>
        </w:rPr>
        <w:t xml:space="preserve">-virus (CMV) and herpesvirus in particular are well known for inducing heterologous </w:t>
      </w:r>
      <w:r w:rsidR="00E83984" w:rsidRPr="00E83984">
        <w:rPr>
          <w:rFonts w:asciiTheme="majorBidi" w:hAnsiTheme="majorBidi" w:cstheme="majorBidi"/>
          <w:sz w:val="28"/>
          <w:szCs w:val="28"/>
        </w:rPr>
        <w:t>immunity</w:t>
      </w:r>
      <w:r w:rsidR="00E83984">
        <w:rPr>
          <w:rFonts w:asciiTheme="majorBidi" w:hAnsiTheme="majorBidi" w:cstheme="majorBidi"/>
          <w:sz w:val="28"/>
          <w:szCs w:val="28"/>
        </w:rPr>
        <w:t>;</w:t>
      </w:r>
      <w:r w:rsidR="003764D0" w:rsidRPr="00E83984">
        <w:rPr>
          <w:rFonts w:asciiTheme="majorBidi" w:hAnsiTheme="majorBidi" w:cstheme="majorBidi"/>
          <w:color w:val="000000"/>
          <w:sz w:val="28"/>
          <w:szCs w:val="28"/>
        </w:rPr>
        <w:t xml:space="preserve"> however, an association between SARS-CoV-2 and the development of anti-HLA antibodies is not yet confirmed. </w:t>
      </w:r>
    </w:p>
    <w:p w14:paraId="4CBF2911" w14:textId="5D08D1F8" w:rsidR="002A0800" w:rsidRDefault="002A0800" w:rsidP="00552B86">
      <w:pPr>
        <w:autoSpaceDE w:val="0"/>
        <w:autoSpaceDN w:val="0"/>
        <w:adjustRightInd w:val="0"/>
        <w:spacing w:after="0" w:line="276" w:lineRule="auto"/>
        <w:rPr>
          <w:rFonts w:asciiTheme="majorBidi" w:hAnsiTheme="majorBidi" w:cstheme="majorBidi"/>
          <w:sz w:val="28"/>
          <w:szCs w:val="28"/>
        </w:rPr>
      </w:pPr>
      <w:r w:rsidRPr="00E83984">
        <w:rPr>
          <w:rFonts w:asciiTheme="majorBidi" w:hAnsiTheme="majorBidi" w:cstheme="majorBidi"/>
          <w:sz w:val="28"/>
          <w:szCs w:val="28"/>
        </w:rPr>
        <w:t xml:space="preserve">In view of ongoing COVID-19 vaccination program in many countries, there remain to be another concern of vaccination induced immunization or enhancement of immune response following natural COVID-19 infection. </w:t>
      </w:r>
    </w:p>
    <w:p w14:paraId="366C0517" w14:textId="77777777" w:rsidR="00E83984" w:rsidRPr="00E83984" w:rsidRDefault="00E83984" w:rsidP="00552B86">
      <w:pPr>
        <w:autoSpaceDE w:val="0"/>
        <w:autoSpaceDN w:val="0"/>
        <w:adjustRightInd w:val="0"/>
        <w:spacing w:after="0" w:line="276" w:lineRule="auto"/>
        <w:rPr>
          <w:rFonts w:asciiTheme="majorBidi" w:hAnsiTheme="majorBidi" w:cstheme="majorBidi"/>
          <w:sz w:val="28"/>
          <w:szCs w:val="28"/>
        </w:rPr>
      </w:pPr>
    </w:p>
    <w:p w14:paraId="67156337" w14:textId="3591785E" w:rsidR="00EE11AC" w:rsidRPr="00EE11AC" w:rsidRDefault="00EE11AC" w:rsidP="00EE11AC">
      <w:pP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color w:val="131413"/>
          <w:sz w:val="28"/>
          <w:szCs w:val="28"/>
        </w:rPr>
      </w:pPr>
      <w:r>
        <w:rPr>
          <w:rFonts w:ascii="AdvTTb5929f4c" w:hAnsi="AdvTTb5929f4c" w:cs="AdvTTb5929f4c"/>
          <w:color w:val="131413"/>
          <w:sz w:val="20"/>
          <w:szCs w:val="20"/>
        </w:rPr>
        <w:t xml:space="preserve"> </w:t>
      </w:r>
      <w:r w:rsidRPr="00EE11AC">
        <w:rPr>
          <w:rFonts w:asciiTheme="majorBidi" w:hAnsiTheme="majorBidi" w:cstheme="majorBidi"/>
          <w:color w:val="131413"/>
          <w:sz w:val="28"/>
          <w:szCs w:val="28"/>
        </w:rPr>
        <w:t xml:space="preserve">In a previous study, we have shown </w:t>
      </w:r>
      <w:r w:rsidRPr="00EE11AC">
        <w:rPr>
          <w:rFonts w:asciiTheme="majorBidi" w:hAnsiTheme="majorBidi" w:cstheme="majorBidi"/>
          <w:color w:val="131413"/>
          <w:sz w:val="28"/>
          <w:szCs w:val="28"/>
        </w:rPr>
        <w:t xml:space="preserve">pediatric transplant </w:t>
      </w:r>
      <w:r w:rsidRPr="00EE11AC">
        <w:rPr>
          <w:rFonts w:asciiTheme="majorBidi" w:hAnsiTheme="majorBidi" w:cstheme="majorBidi"/>
          <w:color w:val="131413"/>
          <w:sz w:val="28"/>
          <w:szCs w:val="28"/>
        </w:rPr>
        <w:t>patients can mount</w:t>
      </w:r>
    </w:p>
    <w:p w14:paraId="3A8C1869" w14:textId="11A184FC" w:rsidR="00EE11AC" w:rsidRPr="00EE11AC" w:rsidRDefault="00EE11AC" w:rsidP="00EE11AC">
      <w:pP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color w:val="131413"/>
          <w:sz w:val="28"/>
          <w:szCs w:val="28"/>
        </w:rPr>
      </w:pPr>
      <w:proofErr w:type="gramStart"/>
      <w:r w:rsidRPr="00EE11AC">
        <w:rPr>
          <w:rFonts w:asciiTheme="majorBidi" w:hAnsiTheme="majorBidi" w:cstheme="majorBidi"/>
          <w:color w:val="131413"/>
          <w:sz w:val="28"/>
          <w:szCs w:val="28"/>
        </w:rPr>
        <w:t>a</w:t>
      </w:r>
      <w:proofErr w:type="gramEnd"/>
      <w:r w:rsidRPr="00EE11AC">
        <w:rPr>
          <w:rFonts w:asciiTheme="majorBidi" w:hAnsiTheme="majorBidi" w:cstheme="majorBidi"/>
          <w:color w:val="131413"/>
          <w:sz w:val="28"/>
          <w:szCs w:val="28"/>
        </w:rPr>
        <w:t xml:space="preserve"> strong humoral immune response</w:t>
      </w:r>
      <w:r w:rsidRPr="00EE11AC">
        <w:rPr>
          <w:rFonts w:asciiTheme="majorBidi" w:hAnsiTheme="majorBidi" w:cstheme="majorBidi"/>
          <w:color w:val="131413"/>
          <w:sz w:val="28"/>
          <w:szCs w:val="28"/>
        </w:rPr>
        <w:t xml:space="preserve"> against SARS-CoV-2</w:t>
      </w:r>
      <w:r w:rsidRPr="00EE11AC">
        <w:rPr>
          <w:rFonts w:asciiTheme="majorBidi" w:hAnsiTheme="majorBidi" w:cstheme="majorBidi"/>
          <w:color w:val="131413"/>
          <w:sz w:val="28"/>
          <w:szCs w:val="28"/>
        </w:rPr>
        <w:t xml:space="preserve"> that persisted for a</w:t>
      </w:r>
    </w:p>
    <w:p w14:paraId="2B914F69" w14:textId="2999681B" w:rsidR="00EE11AC" w:rsidRPr="00EE11AC" w:rsidRDefault="00EE11AC" w:rsidP="00EE11AC">
      <w:pP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color w:val="131413"/>
          <w:sz w:val="28"/>
          <w:szCs w:val="28"/>
        </w:rPr>
      </w:pPr>
      <w:proofErr w:type="gramStart"/>
      <w:r w:rsidRPr="00EE11AC">
        <w:rPr>
          <w:rFonts w:asciiTheme="majorBidi" w:hAnsiTheme="majorBidi" w:cstheme="majorBidi"/>
          <w:color w:val="131413"/>
          <w:sz w:val="28"/>
          <w:szCs w:val="28"/>
        </w:rPr>
        <w:lastRenderedPageBreak/>
        <w:t>few</w:t>
      </w:r>
      <w:proofErr w:type="gramEnd"/>
      <w:r w:rsidRPr="00EE11AC">
        <w:rPr>
          <w:rFonts w:asciiTheme="majorBidi" w:hAnsiTheme="majorBidi" w:cstheme="majorBidi"/>
          <w:color w:val="131413"/>
          <w:sz w:val="28"/>
          <w:szCs w:val="28"/>
        </w:rPr>
        <w:t xml:space="preserve"> months despite being on triple </w:t>
      </w:r>
      <w:r w:rsidRPr="00EE11AC">
        <w:rPr>
          <w:rFonts w:asciiTheme="majorBidi" w:hAnsiTheme="majorBidi" w:cstheme="majorBidi"/>
          <w:color w:val="131413"/>
          <w:sz w:val="28"/>
          <w:szCs w:val="28"/>
        </w:rPr>
        <w:t>immunosuppressant</w:t>
      </w:r>
      <w:r>
        <w:rPr>
          <w:rFonts w:asciiTheme="majorBidi" w:hAnsiTheme="majorBidi" w:cstheme="majorBidi"/>
          <w:color w:val="131413"/>
          <w:sz w:val="28"/>
          <w:szCs w:val="28"/>
        </w:rPr>
        <w:t xml:space="preserve"> implicating </w:t>
      </w:r>
      <w:r w:rsidRPr="00EE11AC">
        <w:rPr>
          <w:rFonts w:asciiTheme="majorBidi" w:hAnsiTheme="majorBidi" w:cstheme="majorBidi"/>
          <w:color w:val="131413"/>
          <w:sz w:val="28"/>
          <w:szCs w:val="28"/>
        </w:rPr>
        <w:t xml:space="preserve"> intact humoral immune response </w:t>
      </w:r>
      <w:r>
        <w:rPr>
          <w:rFonts w:asciiTheme="majorBidi" w:hAnsiTheme="majorBidi" w:cstheme="majorBidi"/>
          <w:color w:val="131413"/>
          <w:sz w:val="28"/>
          <w:szCs w:val="28"/>
        </w:rPr>
        <w:t xml:space="preserve">capable  to respond to other immunizing antigen such as HLA  antigens </w:t>
      </w:r>
      <w:r w:rsidRPr="00EE11AC">
        <w:rPr>
          <w:rFonts w:asciiTheme="majorBidi" w:hAnsiTheme="majorBidi" w:cstheme="majorBidi"/>
          <w:color w:val="131413"/>
          <w:sz w:val="28"/>
          <w:szCs w:val="28"/>
        </w:rPr>
        <w:t xml:space="preserve"> </w:t>
      </w:r>
    </w:p>
    <w:p w14:paraId="568488C9" w14:textId="7D3BAE52" w:rsidR="00E23176" w:rsidRPr="00E83984" w:rsidRDefault="0039129E" w:rsidP="00EE11AC">
      <w:pPr>
        <w:autoSpaceDE w:val="0"/>
        <w:autoSpaceDN w:val="0"/>
        <w:adjustRightInd w:val="0"/>
        <w:spacing w:after="0" w:line="276" w:lineRule="auto"/>
        <w:rPr>
          <w:rFonts w:asciiTheme="majorBidi" w:hAnsiTheme="majorBidi" w:cstheme="majorBidi"/>
          <w:sz w:val="28"/>
          <w:szCs w:val="28"/>
        </w:rPr>
      </w:pPr>
      <w:bookmarkStart w:id="0" w:name="_GoBack"/>
      <w:bookmarkEnd w:id="0"/>
      <w:r w:rsidRPr="00E83984">
        <w:rPr>
          <w:rFonts w:asciiTheme="majorBidi" w:hAnsiTheme="majorBidi" w:cstheme="majorBidi"/>
          <w:sz w:val="28"/>
          <w:szCs w:val="28"/>
        </w:rPr>
        <w:t>During COVID-19 pandemic, we observed</w:t>
      </w:r>
      <w:r w:rsidR="00E83984">
        <w:rPr>
          <w:rFonts w:asciiTheme="majorBidi" w:hAnsiTheme="majorBidi" w:cstheme="majorBidi"/>
          <w:sz w:val="28"/>
          <w:szCs w:val="28"/>
        </w:rPr>
        <w:t xml:space="preserve"> during laboratory transplant-workups </w:t>
      </w:r>
      <w:r w:rsidR="00E83984" w:rsidRPr="00E83984">
        <w:rPr>
          <w:rFonts w:asciiTheme="majorBidi" w:hAnsiTheme="majorBidi" w:cstheme="majorBidi"/>
          <w:sz w:val="28"/>
          <w:szCs w:val="28"/>
        </w:rPr>
        <w:t>many</w:t>
      </w:r>
      <w:r w:rsidR="00E83984">
        <w:rPr>
          <w:rFonts w:asciiTheme="majorBidi" w:hAnsiTheme="majorBidi" w:cstheme="majorBidi"/>
          <w:sz w:val="28"/>
          <w:szCs w:val="28"/>
        </w:rPr>
        <w:t xml:space="preserve"> </w:t>
      </w:r>
      <w:r w:rsidR="002A0800" w:rsidRPr="00E83984">
        <w:rPr>
          <w:rFonts w:asciiTheme="majorBidi" w:hAnsiTheme="majorBidi" w:cstheme="majorBidi"/>
          <w:sz w:val="28"/>
          <w:szCs w:val="28"/>
        </w:rPr>
        <w:t xml:space="preserve">false positive or invalid crossmatch </w:t>
      </w:r>
      <w:r w:rsidR="00E83984" w:rsidRPr="00E83984">
        <w:rPr>
          <w:rFonts w:asciiTheme="majorBidi" w:hAnsiTheme="majorBidi" w:cstheme="majorBidi"/>
          <w:sz w:val="28"/>
          <w:szCs w:val="28"/>
        </w:rPr>
        <w:t xml:space="preserve">results </w:t>
      </w:r>
      <w:r w:rsidR="00E83984">
        <w:rPr>
          <w:rFonts w:asciiTheme="majorBidi" w:hAnsiTheme="majorBidi" w:cstheme="majorBidi"/>
          <w:sz w:val="28"/>
          <w:szCs w:val="28"/>
        </w:rPr>
        <w:t xml:space="preserve">in patients not known to be sensitized. 22% </w:t>
      </w:r>
      <w:r w:rsidRPr="00E83984">
        <w:rPr>
          <w:rFonts w:asciiTheme="majorBidi" w:hAnsiTheme="majorBidi" w:cstheme="majorBidi"/>
          <w:sz w:val="28"/>
          <w:szCs w:val="28"/>
        </w:rPr>
        <w:t xml:space="preserve">out of 445 FCXM performed during an eight months period in our laboratory </w:t>
      </w:r>
      <w:r w:rsidR="00E83984">
        <w:rPr>
          <w:rFonts w:asciiTheme="majorBidi" w:hAnsiTheme="majorBidi" w:cstheme="majorBidi"/>
          <w:sz w:val="28"/>
          <w:szCs w:val="28"/>
        </w:rPr>
        <w:t xml:space="preserve"> were discordant </w:t>
      </w:r>
      <w:r w:rsidRPr="00E83984">
        <w:rPr>
          <w:rFonts w:asciiTheme="majorBidi" w:hAnsiTheme="majorBidi" w:cstheme="majorBidi"/>
          <w:sz w:val="28"/>
          <w:szCs w:val="28"/>
        </w:rPr>
        <w:t xml:space="preserve">and another 7% were invalid due to high background negative control .  No study has addressed the impact of COVID-19 pandemic on pre-kidney transplant </w:t>
      </w:r>
      <w:r w:rsidR="002645CF">
        <w:rPr>
          <w:rFonts w:asciiTheme="majorBidi" w:hAnsiTheme="majorBidi" w:cstheme="majorBidi"/>
          <w:sz w:val="28"/>
          <w:szCs w:val="28"/>
        </w:rPr>
        <w:t xml:space="preserve">laboratory test </w:t>
      </w:r>
      <w:r w:rsidRPr="00E83984">
        <w:rPr>
          <w:rFonts w:asciiTheme="majorBidi" w:hAnsiTheme="majorBidi" w:cstheme="majorBidi"/>
          <w:sz w:val="28"/>
          <w:szCs w:val="28"/>
        </w:rPr>
        <w:t>or described a solution to deal with these non-specific reactivities.</w:t>
      </w:r>
      <w:r w:rsidR="00E23176" w:rsidRPr="00E83984">
        <w:rPr>
          <w:rFonts w:asciiTheme="majorBidi" w:hAnsiTheme="majorBidi" w:cstheme="majorBidi"/>
          <w:sz w:val="28"/>
          <w:szCs w:val="28"/>
        </w:rPr>
        <w:t xml:space="preserve"> </w:t>
      </w:r>
    </w:p>
    <w:p w14:paraId="1F58AE86" w14:textId="2719BA19" w:rsidR="002A0800" w:rsidRPr="00E83984" w:rsidRDefault="00E83984" w:rsidP="00552B86">
      <w:pPr>
        <w:autoSpaceDE w:val="0"/>
        <w:autoSpaceDN w:val="0"/>
        <w:adjustRightInd w:val="0"/>
        <w:spacing w:after="0" w:line="276" w:lineRule="auto"/>
        <w:rPr>
          <w:rFonts w:asciiTheme="majorBidi" w:hAnsiTheme="majorBidi" w:cstheme="majorBidi"/>
          <w:sz w:val="28"/>
          <w:szCs w:val="28"/>
        </w:rPr>
      </w:pPr>
      <w:r w:rsidRPr="00E83984">
        <w:rPr>
          <w:rFonts w:asciiTheme="majorBidi" w:hAnsiTheme="majorBidi" w:cstheme="majorBidi"/>
          <w:sz w:val="28"/>
          <w:szCs w:val="28"/>
        </w:rPr>
        <w:t>Therefore,</w:t>
      </w:r>
      <w:r w:rsidR="00E23176" w:rsidRPr="00E83984">
        <w:rPr>
          <w:rFonts w:asciiTheme="majorBidi" w:hAnsiTheme="majorBidi" w:cstheme="majorBidi"/>
          <w:sz w:val="28"/>
          <w:szCs w:val="28"/>
        </w:rPr>
        <w:t xml:space="preserve"> we decided first to look for the occurrence of</w:t>
      </w:r>
      <w:r w:rsidR="00E23176" w:rsidRPr="00E83984">
        <w:rPr>
          <w:rFonts w:asciiTheme="majorBidi" w:hAnsiTheme="majorBidi" w:cstheme="majorBidi"/>
          <w:color w:val="000000"/>
          <w:sz w:val="28"/>
          <w:szCs w:val="28"/>
        </w:rPr>
        <w:t xml:space="preserve"> HLA- sensitization by estimating the prevalence of HLA antibody before and after COVID-19 infection in a cohort of </w:t>
      </w:r>
      <w:proofErr w:type="gramStart"/>
      <w:r w:rsidR="00E23176" w:rsidRPr="00E83984">
        <w:rPr>
          <w:rFonts w:asciiTheme="majorBidi" w:hAnsiTheme="majorBidi" w:cstheme="majorBidi"/>
          <w:color w:val="000000"/>
          <w:sz w:val="28"/>
          <w:szCs w:val="28"/>
        </w:rPr>
        <w:t>3</w:t>
      </w:r>
      <w:proofErr w:type="gramEnd"/>
      <w:r w:rsidR="00E23176" w:rsidRPr="00E83984">
        <w:rPr>
          <w:rFonts w:asciiTheme="majorBidi" w:hAnsiTheme="majorBidi" w:cstheme="majorBidi"/>
          <w:color w:val="000000"/>
          <w:sz w:val="28"/>
          <w:szCs w:val="28"/>
        </w:rPr>
        <w:t xml:space="preserve"> groups included 58 healthy non-sensitized employees (HNEs), 130 kidney transplant recipients (KTRs), and 62 kidney transplant candidates.</w:t>
      </w:r>
      <w:r w:rsidR="002A0800" w:rsidRPr="00E83984">
        <w:rPr>
          <w:rFonts w:asciiTheme="majorBidi" w:hAnsiTheme="majorBidi" w:cstheme="majorBidi"/>
          <w:sz w:val="28"/>
          <w:szCs w:val="28"/>
        </w:rPr>
        <w:t xml:space="preserve"> </w:t>
      </w:r>
      <w:r w:rsidRPr="00E83984">
        <w:rPr>
          <w:rFonts w:asciiTheme="majorBidi" w:hAnsiTheme="majorBidi" w:cstheme="majorBidi"/>
          <w:sz w:val="28"/>
          <w:szCs w:val="28"/>
        </w:rPr>
        <w:t>Further</w:t>
      </w:r>
      <w:r w:rsidR="002A0800" w:rsidRPr="00E83984">
        <w:rPr>
          <w:rFonts w:asciiTheme="majorBidi" w:hAnsiTheme="majorBidi" w:cstheme="majorBidi"/>
          <w:sz w:val="28"/>
          <w:szCs w:val="28"/>
        </w:rPr>
        <w:t xml:space="preserve"> evaluation of these antibodies revealed that these</w:t>
      </w:r>
      <w:r>
        <w:rPr>
          <w:rFonts w:asciiTheme="majorBidi" w:hAnsiTheme="majorBidi" w:cstheme="majorBidi"/>
          <w:sz w:val="28"/>
          <w:szCs w:val="28"/>
        </w:rPr>
        <w:t xml:space="preserve"> antibodies  could explained some of the </w:t>
      </w:r>
      <w:r w:rsidR="002A0800" w:rsidRPr="00E83984">
        <w:rPr>
          <w:rFonts w:asciiTheme="majorBidi" w:hAnsiTheme="majorBidi" w:cstheme="majorBidi"/>
          <w:sz w:val="28"/>
          <w:szCs w:val="28"/>
        </w:rPr>
        <w:t xml:space="preserve"> false positive</w:t>
      </w:r>
      <w:r>
        <w:rPr>
          <w:rFonts w:asciiTheme="majorBidi" w:hAnsiTheme="majorBidi" w:cstheme="majorBidi"/>
          <w:sz w:val="28"/>
          <w:szCs w:val="28"/>
        </w:rPr>
        <w:t xml:space="preserve"> or inval</w:t>
      </w:r>
      <w:r w:rsidR="002645CF">
        <w:rPr>
          <w:rFonts w:asciiTheme="majorBidi" w:hAnsiTheme="majorBidi" w:cstheme="majorBidi"/>
          <w:sz w:val="28"/>
          <w:szCs w:val="28"/>
        </w:rPr>
        <w:t>id crossmatch results therefore</w:t>
      </w:r>
      <w:r>
        <w:rPr>
          <w:rFonts w:asciiTheme="majorBidi" w:hAnsiTheme="majorBidi" w:cstheme="majorBidi"/>
          <w:sz w:val="28"/>
          <w:szCs w:val="28"/>
        </w:rPr>
        <w:t xml:space="preserve">, </w:t>
      </w:r>
      <w:r w:rsidR="002645CF">
        <w:rPr>
          <w:rFonts w:asciiTheme="majorBidi" w:hAnsiTheme="majorBidi" w:cstheme="majorBidi"/>
          <w:sz w:val="28"/>
          <w:szCs w:val="28"/>
        </w:rPr>
        <w:t>t</w:t>
      </w:r>
      <w:r w:rsidR="002A0800" w:rsidRPr="00E83984">
        <w:rPr>
          <w:rFonts w:asciiTheme="majorBidi" w:hAnsiTheme="majorBidi" w:cstheme="majorBidi"/>
          <w:sz w:val="28"/>
          <w:szCs w:val="28"/>
        </w:rPr>
        <w:t>ransplant laboratories must consider this before test interpretations.</w:t>
      </w:r>
    </w:p>
    <w:p w14:paraId="2DC8CF02" w14:textId="211ACD84" w:rsidR="00E23176" w:rsidRPr="00E83984" w:rsidRDefault="00E83984" w:rsidP="002645CF">
      <w:pPr>
        <w:spacing w:after="80" w:line="276" w:lineRule="auto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This recent findings for </w:t>
      </w:r>
      <w:r w:rsidR="00E23176" w:rsidRPr="00E83984">
        <w:rPr>
          <w:rFonts w:asciiTheme="majorBidi" w:hAnsiTheme="majorBidi" w:cstheme="majorBidi"/>
          <w:color w:val="000000"/>
          <w:sz w:val="28"/>
          <w:szCs w:val="28"/>
        </w:rPr>
        <w:t xml:space="preserve">the </w:t>
      </w:r>
      <w:r w:rsidR="002A0800" w:rsidRPr="00E83984">
        <w:rPr>
          <w:rFonts w:asciiTheme="majorBidi" w:hAnsiTheme="majorBidi" w:cstheme="majorBidi"/>
          <w:color w:val="000000"/>
          <w:sz w:val="28"/>
          <w:szCs w:val="28"/>
        </w:rPr>
        <w:t xml:space="preserve">potential </w:t>
      </w:r>
      <w:r>
        <w:rPr>
          <w:rFonts w:asciiTheme="majorBidi" w:hAnsiTheme="majorBidi" w:cstheme="majorBidi"/>
          <w:color w:val="000000"/>
          <w:sz w:val="28"/>
          <w:szCs w:val="28"/>
        </w:rPr>
        <w:t xml:space="preserve"> role of COVID-19 infection and vaccination </w:t>
      </w:r>
      <w:r w:rsidR="002A0800" w:rsidRPr="00E83984">
        <w:rPr>
          <w:rFonts w:asciiTheme="majorBidi" w:hAnsiTheme="majorBidi" w:cstheme="majorBidi"/>
          <w:color w:val="000000"/>
          <w:sz w:val="28"/>
          <w:szCs w:val="28"/>
        </w:rPr>
        <w:t xml:space="preserve">to </w:t>
      </w:r>
      <w:r w:rsidR="00E23176" w:rsidRPr="00E83984">
        <w:rPr>
          <w:rFonts w:asciiTheme="majorBidi" w:hAnsiTheme="majorBidi" w:cstheme="majorBidi"/>
          <w:color w:val="000000"/>
          <w:sz w:val="28"/>
          <w:szCs w:val="28"/>
        </w:rPr>
        <w:t xml:space="preserve"> </w:t>
      </w:r>
      <w:r w:rsidR="002A0800" w:rsidRPr="00E83984">
        <w:rPr>
          <w:rFonts w:asciiTheme="majorBidi" w:hAnsiTheme="majorBidi" w:cstheme="majorBidi"/>
          <w:sz w:val="28"/>
          <w:szCs w:val="28"/>
        </w:rPr>
        <w:t>induce new HLA- antibody formation</w:t>
      </w:r>
      <w:r w:rsidR="002A0800" w:rsidRPr="00E83984">
        <w:rPr>
          <w:rFonts w:asciiTheme="majorBidi" w:hAnsiTheme="majorBidi" w:cstheme="majorBidi"/>
          <w:color w:val="000000"/>
          <w:sz w:val="28"/>
          <w:szCs w:val="28"/>
        </w:rPr>
        <w:t xml:space="preserve"> </w:t>
      </w:r>
      <w:r w:rsidR="00E23176" w:rsidRPr="00E83984">
        <w:rPr>
          <w:rFonts w:asciiTheme="majorBidi" w:hAnsiTheme="majorBidi" w:cstheme="majorBidi"/>
          <w:color w:val="000000"/>
          <w:sz w:val="28"/>
          <w:szCs w:val="28"/>
        </w:rPr>
        <w:t>stimulated us</w:t>
      </w:r>
      <w:r w:rsidR="002645CF">
        <w:rPr>
          <w:rFonts w:asciiTheme="majorBidi" w:hAnsiTheme="majorBidi" w:cstheme="majorBidi"/>
          <w:color w:val="000000"/>
          <w:sz w:val="28"/>
          <w:szCs w:val="28"/>
        </w:rPr>
        <w:t xml:space="preserve"> further </w:t>
      </w:r>
      <w:r w:rsidR="00E23176" w:rsidRPr="00E83984">
        <w:rPr>
          <w:rFonts w:asciiTheme="majorBidi" w:hAnsiTheme="majorBidi" w:cstheme="majorBidi"/>
          <w:color w:val="000000"/>
          <w:sz w:val="28"/>
          <w:szCs w:val="28"/>
        </w:rPr>
        <w:t xml:space="preserve"> to investigate the impact of CVOID- 19 on the over</w:t>
      </w:r>
      <w:r>
        <w:rPr>
          <w:rFonts w:asciiTheme="majorBidi" w:hAnsiTheme="majorBidi" w:cstheme="majorBidi"/>
          <w:color w:val="000000"/>
          <w:sz w:val="28"/>
          <w:szCs w:val="28"/>
        </w:rPr>
        <w:t xml:space="preserve">all </w:t>
      </w:r>
      <w:r w:rsidRPr="00E83984">
        <w:rPr>
          <w:rFonts w:asciiTheme="majorBidi" w:hAnsiTheme="majorBidi" w:cstheme="majorBidi"/>
          <w:color w:val="000000"/>
          <w:sz w:val="28"/>
          <w:szCs w:val="28"/>
        </w:rPr>
        <w:t>transplant</w:t>
      </w:r>
      <w:r>
        <w:rPr>
          <w:rFonts w:asciiTheme="majorBidi" w:hAnsiTheme="majorBidi" w:cstheme="majorBidi"/>
          <w:color w:val="000000"/>
          <w:sz w:val="28"/>
          <w:szCs w:val="28"/>
        </w:rPr>
        <w:t xml:space="preserve"> </w:t>
      </w:r>
      <w:r w:rsidRPr="00E83984">
        <w:rPr>
          <w:rFonts w:asciiTheme="majorBidi" w:hAnsiTheme="majorBidi" w:cstheme="majorBidi"/>
          <w:color w:val="000000"/>
          <w:sz w:val="28"/>
          <w:szCs w:val="28"/>
        </w:rPr>
        <w:t>work</w:t>
      </w:r>
      <w:r>
        <w:rPr>
          <w:rFonts w:asciiTheme="majorBidi" w:hAnsiTheme="majorBidi" w:cstheme="majorBidi"/>
          <w:color w:val="000000"/>
          <w:sz w:val="28"/>
          <w:szCs w:val="28"/>
        </w:rPr>
        <w:t>-</w:t>
      </w:r>
      <w:r w:rsidR="00E23176" w:rsidRPr="00E83984">
        <w:rPr>
          <w:rFonts w:asciiTheme="majorBidi" w:hAnsiTheme="majorBidi" w:cstheme="majorBidi"/>
          <w:color w:val="000000"/>
          <w:sz w:val="28"/>
          <w:szCs w:val="28"/>
        </w:rPr>
        <w:t xml:space="preserve">ups and to find laboratory solution to </w:t>
      </w:r>
      <w:r w:rsidRPr="00E83984">
        <w:rPr>
          <w:rFonts w:asciiTheme="majorBidi" w:hAnsiTheme="majorBidi" w:cstheme="majorBidi"/>
          <w:color w:val="000000"/>
          <w:sz w:val="28"/>
          <w:szCs w:val="28"/>
        </w:rPr>
        <w:t>overcome</w:t>
      </w:r>
      <w:r w:rsidR="00E23176" w:rsidRPr="00E83984">
        <w:rPr>
          <w:rFonts w:asciiTheme="majorBidi" w:hAnsiTheme="majorBidi" w:cstheme="majorBidi"/>
          <w:color w:val="000000"/>
          <w:sz w:val="28"/>
          <w:szCs w:val="28"/>
        </w:rPr>
        <w:t xml:space="preserve"> these discrepant lab results</w:t>
      </w:r>
      <w:r>
        <w:rPr>
          <w:rFonts w:asciiTheme="majorBidi" w:hAnsiTheme="majorBidi" w:cstheme="majorBidi"/>
          <w:color w:val="000000"/>
          <w:sz w:val="28"/>
          <w:szCs w:val="28"/>
        </w:rPr>
        <w:t>.</w:t>
      </w:r>
      <w:r w:rsidR="00E23176" w:rsidRPr="00E83984">
        <w:rPr>
          <w:rFonts w:asciiTheme="majorBidi" w:hAnsiTheme="majorBidi" w:cstheme="majorBidi"/>
          <w:color w:val="000000"/>
          <w:sz w:val="28"/>
          <w:szCs w:val="28"/>
        </w:rPr>
        <w:t xml:space="preserve"> </w:t>
      </w:r>
      <w:r w:rsidR="002A0800" w:rsidRPr="00E83984">
        <w:rPr>
          <w:rFonts w:asciiTheme="majorBidi" w:hAnsiTheme="majorBidi" w:cstheme="majorBidi"/>
          <w:sz w:val="28"/>
          <w:szCs w:val="28"/>
        </w:rPr>
        <w:t xml:space="preserve">We also tried to </w:t>
      </w:r>
      <w:r w:rsidR="00403768" w:rsidRPr="00E83984">
        <w:rPr>
          <w:rFonts w:asciiTheme="majorBidi" w:hAnsiTheme="majorBidi" w:cstheme="majorBidi"/>
          <w:sz w:val="28"/>
          <w:szCs w:val="28"/>
        </w:rPr>
        <w:t xml:space="preserve">develop </w:t>
      </w:r>
      <w:r w:rsidR="00403768">
        <w:rPr>
          <w:rFonts w:asciiTheme="majorBidi" w:hAnsiTheme="majorBidi" w:cstheme="majorBidi"/>
          <w:sz w:val="28"/>
          <w:szCs w:val="28"/>
        </w:rPr>
        <w:t>and</w:t>
      </w:r>
      <w:r>
        <w:rPr>
          <w:rFonts w:asciiTheme="majorBidi" w:hAnsiTheme="majorBidi" w:cstheme="majorBidi"/>
          <w:sz w:val="28"/>
          <w:szCs w:val="28"/>
        </w:rPr>
        <w:t xml:space="preserve"> validate a modified laboratory test capable to </w:t>
      </w:r>
      <w:r w:rsidR="002A0800" w:rsidRPr="00E83984">
        <w:rPr>
          <w:rFonts w:asciiTheme="majorBidi" w:hAnsiTheme="majorBidi" w:cstheme="majorBidi"/>
          <w:sz w:val="28"/>
          <w:szCs w:val="28"/>
        </w:rPr>
        <w:t>abrogate these non-specific reactions.</w:t>
      </w:r>
    </w:p>
    <w:p w14:paraId="261E98ED" w14:textId="4F686BAF" w:rsidR="00403768" w:rsidRDefault="002A0800" w:rsidP="00552B86">
      <w:pPr>
        <w:spacing w:after="80" w:line="276" w:lineRule="auto"/>
        <w:jc w:val="both"/>
        <w:rPr>
          <w:rFonts w:asciiTheme="majorBidi" w:hAnsiTheme="majorBidi" w:cstheme="majorBidi"/>
          <w:sz w:val="28"/>
          <w:szCs w:val="28"/>
        </w:rPr>
      </w:pPr>
      <w:r w:rsidRPr="00E83984">
        <w:rPr>
          <w:rFonts w:asciiTheme="majorBidi" w:hAnsiTheme="majorBidi" w:cstheme="majorBidi"/>
          <w:sz w:val="28"/>
          <w:szCs w:val="28"/>
        </w:rPr>
        <w:t xml:space="preserve"> </w:t>
      </w:r>
      <w:r w:rsidR="00403768" w:rsidRPr="00E83984">
        <w:rPr>
          <w:rFonts w:asciiTheme="majorBidi" w:hAnsiTheme="majorBidi" w:cstheme="majorBidi"/>
          <w:sz w:val="28"/>
          <w:szCs w:val="28"/>
        </w:rPr>
        <w:t>Therefore,</w:t>
      </w:r>
      <w:r w:rsidRPr="00E83984">
        <w:rPr>
          <w:rFonts w:asciiTheme="majorBidi" w:hAnsiTheme="majorBidi" w:cstheme="majorBidi"/>
          <w:sz w:val="28"/>
          <w:szCs w:val="28"/>
        </w:rPr>
        <w:t xml:space="preserve"> we </w:t>
      </w:r>
      <w:r w:rsidR="003764D0" w:rsidRPr="00E83984">
        <w:rPr>
          <w:rFonts w:asciiTheme="majorBidi" w:hAnsiTheme="majorBidi" w:cstheme="majorBidi"/>
          <w:sz w:val="28"/>
          <w:szCs w:val="28"/>
        </w:rPr>
        <w:t xml:space="preserve">analyzed all FCXM results </w:t>
      </w:r>
      <w:r w:rsidR="00403768">
        <w:rPr>
          <w:rFonts w:asciiTheme="majorBidi" w:hAnsiTheme="majorBidi" w:cstheme="majorBidi"/>
          <w:sz w:val="28"/>
          <w:szCs w:val="28"/>
        </w:rPr>
        <w:t xml:space="preserve"> performed </w:t>
      </w:r>
      <w:r w:rsidR="003764D0" w:rsidRPr="00E83984">
        <w:rPr>
          <w:rFonts w:asciiTheme="majorBidi" w:hAnsiTheme="majorBidi" w:cstheme="majorBidi"/>
          <w:sz w:val="28"/>
          <w:szCs w:val="28"/>
        </w:rPr>
        <w:t>in SARS-CoV-2 seropositive patients</w:t>
      </w:r>
      <w:r w:rsidR="00403768">
        <w:rPr>
          <w:rFonts w:asciiTheme="majorBidi" w:hAnsiTheme="majorBidi" w:cstheme="majorBidi"/>
          <w:sz w:val="28"/>
          <w:szCs w:val="28"/>
        </w:rPr>
        <w:t xml:space="preserve"> during one year period retrospectively </w:t>
      </w:r>
      <w:r w:rsidR="003764D0" w:rsidRPr="00E83984">
        <w:rPr>
          <w:rFonts w:asciiTheme="majorBidi" w:hAnsiTheme="majorBidi" w:cstheme="majorBidi"/>
          <w:sz w:val="28"/>
          <w:szCs w:val="28"/>
        </w:rPr>
        <w:t xml:space="preserve"> </w:t>
      </w:r>
      <w:r w:rsidR="00403768">
        <w:rPr>
          <w:rFonts w:asciiTheme="majorBidi" w:hAnsiTheme="majorBidi" w:cstheme="majorBidi"/>
          <w:color w:val="000000"/>
          <w:sz w:val="28"/>
          <w:szCs w:val="28"/>
        </w:rPr>
        <w:t xml:space="preserve">and </w:t>
      </w:r>
      <w:r w:rsidRPr="00E83984">
        <w:rPr>
          <w:rFonts w:asciiTheme="majorBidi" w:hAnsiTheme="majorBidi" w:cstheme="majorBidi"/>
          <w:color w:val="000000"/>
          <w:sz w:val="28"/>
          <w:szCs w:val="28"/>
        </w:rPr>
        <w:t xml:space="preserve"> found that </w:t>
      </w:r>
      <w:r w:rsidR="003764D0" w:rsidRPr="00E83984">
        <w:rPr>
          <w:rFonts w:asciiTheme="majorBidi" w:hAnsiTheme="majorBidi" w:cstheme="majorBidi"/>
          <w:color w:val="000000"/>
          <w:sz w:val="28"/>
          <w:szCs w:val="28"/>
        </w:rPr>
        <w:t xml:space="preserve">, </w:t>
      </w:r>
      <w:r w:rsidRPr="00E83984">
        <w:rPr>
          <w:rFonts w:asciiTheme="majorBidi" w:hAnsiTheme="majorBidi" w:cstheme="majorBidi"/>
          <w:sz w:val="28"/>
          <w:szCs w:val="28"/>
        </w:rPr>
        <w:t xml:space="preserve">COVID-19 pandemic has </w:t>
      </w:r>
      <w:r w:rsidR="00403768">
        <w:rPr>
          <w:rFonts w:asciiTheme="majorBidi" w:hAnsiTheme="majorBidi" w:cstheme="majorBidi"/>
          <w:sz w:val="28"/>
          <w:szCs w:val="28"/>
        </w:rPr>
        <w:t xml:space="preserve">huge both financial and technical </w:t>
      </w:r>
      <w:r w:rsidR="00403768" w:rsidRPr="00E83984">
        <w:rPr>
          <w:rFonts w:asciiTheme="majorBidi" w:hAnsiTheme="majorBidi" w:cstheme="majorBidi"/>
          <w:sz w:val="28"/>
          <w:szCs w:val="28"/>
        </w:rPr>
        <w:t xml:space="preserve"> </w:t>
      </w:r>
      <w:r w:rsidR="00403768">
        <w:rPr>
          <w:rFonts w:asciiTheme="majorBidi" w:hAnsiTheme="majorBidi" w:cstheme="majorBidi"/>
          <w:sz w:val="28"/>
          <w:szCs w:val="28"/>
        </w:rPr>
        <w:t xml:space="preserve">impact on </w:t>
      </w:r>
      <w:r w:rsidRPr="00E83984">
        <w:rPr>
          <w:rFonts w:asciiTheme="majorBidi" w:hAnsiTheme="majorBidi" w:cstheme="majorBidi"/>
          <w:sz w:val="28"/>
          <w:szCs w:val="28"/>
        </w:rPr>
        <w:t xml:space="preserve"> our HLA laboratory</w:t>
      </w:r>
      <w:r w:rsidR="00403768">
        <w:rPr>
          <w:rFonts w:asciiTheme="majorBidi" w:hAnsiTheme="majorBidi" w:cstheme="majorBidi"/>
          <w:sz w:val="28"/>
          <w:szCs w:val="28"/>
        </w:rPr>
        <w:t xml:space="preserve"> </w:t>
      </w:r>
      <w:r w:rsidRPr="00E83984">
        <w:rPr>
          <w:rFonts w:asciiTheme="majorBidi" w:hAnsiTheme="majorBidi" w:cstheme="majorBidi"/>
          <w:sz w:val="28"/>
          <w:szCs w:val="28"/>
        </w:rPr>
        <w:t xml:space="preserve">by creating   many false positive or invalid crossmatch </w:t>
      </w:r>
      <w:r w:rsidR="00403768">
        <w:rPr>
          <w:rFonts w:asciiTheme="majorBidi" w:hAnsiTheme="majorBidi" w:cstheme="majorBidi"/>
          <w:sz w:val="28"/>
          <w:szCs w:val="28"/>
        </w:rPr>
        <w:t>results that needed through investigation , repeat procedures , and modified procedures.</w:t>
      </w:r>
    </w:p>
    <w:p w14:paraId="082A543D" w14:textId="02CBAA15" w:rsidR="00552B86" w:rsidRPr="00C212C7" w:rsidRDefault="00403768" w:rsidP="00552B86">
      <w:pPr>
        <w:autoSpaceDE w:val="0"/>
        <w:autoSpaceDN w:val="0"/>
        <w:adjustRightInd w:val="0"/>
        <w:spacing w:after="0" w:line="276" w:lineRule="auto"/>
        <w:rPr>
          <w:rFonts w:asciiTheme="majorBidi" w:hAnsiTheme="majorBidi" w:cstheme="majorBidi"/>
          <w:color w:val="000000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 </w:t>
      </w:r>
      <w:r w:rsidR="002A0800" w:rsidRPr="00E83984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 w:rsidR="00552B86" w:rsidRPr="00C212C7">
        <w:rPr>
          <w:rFonts w:asciiTheme="majorBidi" w:hAnsiTheme="majorBidi" w:cstheme="majorBidi"/>
          <w:color w:val="000000"/>
          <w:sz w:val="28"/>
          <w:szCs w:val="28"/>
        </w:rPr>
        <w:t>In conclusion, COVID-19 infection has the</w:t>
      </w:r>
      <w:r w:rsidR="00552B86">
        <w:rPr>
          <w:rFonts w:asciiTheme="majorBidi" w:hAnsiTheme="majorBidi" w:cstheme="majorBidi"/>
          <w:color w:val="000000"/>
          <w:sz w:val="28"/>
          <w:szCs w:val="28"/>
        </w:rPr>
        <w:t xml:space="preserve"> </w:t>
      </w:r>
      <w:r w:rsidR="00552B86" w:rsidRPr="00C212C7">
        <w:rPr>
          <w:rFonts w:asciiTheme="majorBidi" w:hAnsiTheme="majorBidi" w:cstheme="majorBidi"/>
          <w:color w:val="000000"/>
          <w:sz w:val="28"/>
          <w:szCs w:val="28"/>
        </w:rPr>
        <w:t>potential to produce class II antibodies but with little effect on preexisting sensitization. These</w:t>
      </w:r>
      <w:r w:rsidR="00552B86">
        <w:rPr>
          <w:rFonts w:asciiTheme="majorBidi" w:hAnsiTheme="majorBidi" w:cstheme="majorBidi"/>
          <w:color w:val="000000"/>
          <w:sz w:val="28"/>
          <w:szCs w:val="28"/>
        </w:rPr>
        <w:t xml:space="preserve"> </w:t>
      </w:r>
      <w:r w:rsidR="00552B86" w:rsidRPr="00C212C7">
        <w:rPr>
          <w:rFonts w:asciiTheme="majorBidi" w:hAnsiTheme="majorBidi" w:cstheme="majorBidi"/>
          <w:color w:val="000000"/>
          <w:sz w:val="28"/>
          <w:szCs w:val="28"/>
        </w:rPr>
        <w:t>antibodies are likely to be transient and therefore should not affect</w:t>
      </w:r>
      <w:r w:rsidR="00552B86">
        <w:rPr>
          <w:rFonts w:asciiTheme="majorBidi" w:hAnsiTheme="majorBidi" w:cstheme="majorBidi"/>
          <w:color w:val="000000"/>
          <w:sz w:val="28"/>
          <w:szCs w:val="28"/>
        </w:rPr>
        <w:t xml:space="preserve"> </w:t>
      </w:r>
      <w:r w:rsidR="00552B86" w:rsidRPr="00C212C7">
        <w:rPr>
          <w:rFonts w:asciiTheme="majorBidi" w:hAnsiTheme="majorBidi" w:cstheme="majorBidi"/>
          <w:color w:val="000000"/>
          <w:sz w:val="28"/>
          <w:szCs w:val="28"/>
        </w:rPr>
        <w:t>access to transplantation. There is a need for further evaluation to ascertain the genuineness of</w:t>
      </w:r>
      <w:r w:rsidR="00552B86">
        <w:rPr>
          <w:rFonts w:asciiTheme="majorBidi" w:hAnsiTheme="majorBidi" w:cstheme="majorBidi"/>
          <w:color w:val="000000"/>
          <w:sz w:val="28"/>
          <w:szCs w:val="28"/>
        </w:rPr>
        <w:t xml:space="preserve"> </w:t>
      </w:r>
      <w:r w:rsidR="00552B86" w:rsidRPr="00C212C7">
        <w:rPr>
          <w:rFonts w:asciiTheme="majorBidi" w:hAnsiTheme="majorBidi" w:cstheme="majorBidi"/>
          <w:color w:val="000000"/>
          <w:sz w:val="28"/>
          <w:szCs w:val="28"/>
        </w:rPr>
        <w:t>these antibodies and their exact effect on transplant readiness and outcomes.</w:t>
      </w:r>
    </w:p>
    <w:p w14:paraId="326C5EB4" w14:textId="62437C2D" w:rsidR="002A0800" w:rsidRPr="00E83984" w:rsidRDefault="002A0800" w:rsidP="00552B86">
      <w:pPr>
        <w:spacing w:after="80" w:line="276" w:lineRule="auto"/>
        <w:jc w:val="both"/>
        <w:rPr>
          <w:rFonts w:asciiTheme="majorBidi" w:hAnsiTheme="majorBidi" w:cstheme="majorBidi"/>
          <w:sz w:val="28"/>
          <w:szCs w:val="28"/>
        </w:rPr>
      </w:pPr>
      <w:r w:rsidRPr="00E83984">
        <w:rPr>
          <w:rFonts w:asciiTheme="majorBidi" w:hAnsiTheme="majorBidi" w:cstheme="majorBidi"/>
          <w:bCs/>
          <w:spacing w:val="-1"/>
          <w:sz w:val="28"/>
          <w:szCs w:val="28"/>
        </w:rPr>
        <w:lastRenderedPageBreak/>
        <w:t>We recommend the use of DTT serum treatment to remove nonspecific bindings in the sera of kidney transplant</w:t>
      </w:r>
      <w:r w:rsidR="00552B86">
        <w:rPr>
          <w:rFonts w:asciiTheme="majorBidi" w:hAnsiTheme="majorBidi" w:cstheme="majorBidi"/>
          <w:bCs/>
          <w:spacing w:val="-1"/>
          <w:sz w:val="28"/>
          <w:szCs w:val="28"/>
        </w:rPr>
        <w:t xml:space="preserve"> candidates and the use of negative control to </w:t>
      </w:r>
      <w:r w:rsidR="00FD1F13">
        <w:rPr>
          <w:rFonts w:asciiTheme="majorBidi" w:hAnsiTheme="majorBidi" w:cstheme="majorBidi"/>
          <w:bCs/>
          <w:spacing w:val="-1"/>
          <w:sz w:val="28"/>
          <w:szCs w:val="28"/>
        </w:rPr>
        <w:t>block</w:t>
      </w:r>
      <w:r w:rsidRPr="00E83984">
        <w:rPr>
          <w:rFonts w:asciiTheme="majorBidi" w:hAnsiTheme="majorBidi" w:cstheme="majorBidi"/>
          <w:bCs/>
          <w:spacing w:val="-1"/>
          <w:sz w:val="28"/>
          <w:szCs w:val="28"/>
        </w:rPr>
        <w:t xml:space="preserve"> donor </w:t>
      </w:r>
      <w:r w:rsidR="00FD1F13" w:rsidRPr="00E83984">
        <w:rPr>
          <w:rFonts w:asciiTheme="majorBidi" w:hAnsiTheme="majorBidi" w:cstheme="majorBidi"/>
          <w:bCs/>
          <w:spacing w:val="-1"/>
          <w:sz w:val="28"/>
          <w:szCs w:val="28"/>
        </w:rPr>
        <w:t xml:space="preserve">cells </w:t>
      </w:r>
      <w:r w:rsidR="00FD1F13">
        <w:rPr>
          <w:rFonts w:asciiTheme="majorBidi" w:hAnsiTheme="majorBidi" w:cstheme="majorBidi"/>
          <w:bCs/>
          <w:spacing w:val="-1"/>
          <w:sz w:val="28"/>
          <w:szCs w:val="28"/>
        </w:rPr>
        <w:t xml:space="preserve">and </w:t>
      </w:r>
      <w:r w:rsidRPr="00E83984">
        <w:rPr>
          <w:rFonts w:asciiTheme="majorBidi" w:hAnsiTheme="majorBidi" w:cstheme="majorBidi"/>
          <w:bCs/>
          <w:spacing w:val="-1"/>
          <w:sz w:val="28"/>
          <w:szCs w:val="28"/>
        </w:rPr>
        <w:t>to correct high background when performing FCXM in transplant candidates or donors with recent history of SARS-CoV-2</w:t>
      </w:r>
      <w:r w:rsidR="00FD1F13">
        <w:rPr>
          <w:rFonts w:asciiTheme="majorBidi" w:hAnsiTheme="majorBidi" w:cstheme="majorBidi"/>
          <w:bCs/>
          <w:spacing w:val="-1"/>
          <w:sz w:val="28"/>
          <w:szCs w:val="28"/>
        </w:rPr>
        <w:t xml:space="preserve"> infection</w:t>
      </w:r>
      <w:proofErr w:type="gramStart"/>
      <w:r w:rsidR="00FD1F13">
        <w:rPr>
          <w:rFonts w:asciiTheme="majorBidi" w:hAnsiTheme="majorBidi" w:cstheme="majorBidi"/>
          <w:bCs/>
          <w:spacing w:val="-1"/>
          <w:sz w:val="28"/>
          <w:szCs w:val="28"/>
        </w:rPr>
        <w:t xml:space="preserve">/ </w:t>
      </w:r>
      <w:r w:rsidRPr="00E83984">
        <w:rPr>
          <w:rFonts w:asciiTheme="majorBidi" w:hAnsiTheme="majorBidi" w:cstheme="majorBidi"/>
          <w:bCs/>
          <w:spacing w:val="-1"/>
          <w:sz w:val="28"/>
          <w:szCs w:val="28"/>
        </w:rPr>
        <w:t xml:space="preserve"> </w:t>
      </w:r>
      <w:r w:rsidR="00552B86" w:rsidRPr="00E83984">
        <w:rPr>
          <w:rFonts w:asciiTheme="majorBidi" w:hAnsiTheme="majorBidi" w:cstheme="majorBidi"/>
          <w:bCs/>
          <w:spacing w:val="-1"/>
          <w:sz w:val="28"/>
          <w:szCs w:val="28"/>
        </w:rPr>
        <w:t>immunization</w:t>
      </w:r>
      <w:proofErr w:type="gramEnd"/>
      <w:r w:rsidR="00552B86">
        <w:rPr>
          <w:rFonts w:asciiTheme="majorBidi" w:hAnsiTheme="majorBidi" w:cstheme="majorBidi"/>
          <w:sz w:val="28"/>
          <w:szCs w:val="28"/>
        </w:rPr>
        <w:t>.</w:t>
      </w:r>
    </w:p>
    <w:p w14:paraId="039E815B" w14:textId="77777777" w:rsidR="002A0800" w:rsidRPr="00E83984" w:rsidRDefault="002A0800" w:rsidP="00552B86">
      <w:pPr>
        <w:spacing w:after="80" w:line="276" w:lineRule="auto"/>
        <w:jc w:val="both"/>
        <w:rPr>
          <w:rFonts w:asciiTheme="majorBidi" w:hAnsiTheme="majorBidi" w:cstheme="majorBidi"/>
          <w:sz w:val="28"/>
          <w:szCs w:val="28"/>
        </w:rPr>
      </w:pPr>
      <w:r w:rsidRPr="00E83984">
        <w:rPr>
          <w:rFonts w:asciiTheme="majorBidi" w:hAnsiTheme="majorBidi" w:cstheme="majorBidi"/>
          <w:sz w:val="28"/>
          <w:szCs w:val="28"/>
        </w:rPr>
        <w:t>To the best of our knowledge there is no study  addressed the impact of this pandemic on crossmatch and  the overall pre-transplant work-ups neither there  is  a report on finding  a solution  to be used routinely to remove such impact, a problem likely to continue  in view of  the ongoing  global pandemic.</w:t>
      </w:r>
    </w:p>
    <w:p w14:paraId="72D52944" w14:textId="77777777" w:rsidR="002A0800" w:rsidRPr="00E83984" w:rsidRDefault="002A0800" w:rsidP="00FD1F13">
      <w:pPr>
        <w:spacing w:after="80" w:line="276" w:lineRule="auto"/>
        <w:rPr>
          <w:rFonts w:asciiTheme="majorBidi" w:hAnsiTheme="majorBidi" w:cstheme="majorBidi"/>
          <w:b/>
          <w:bCs/>
          <w:sz w:val="28"/>
          <w:szCs w:val="28"/>
        </w:rPr>
      </w:pPr>
      <w:r w:rsidRPr="00E83984">
        <w:rPr>
          <w:rFonts w:asciiTheme="majorBidi" w:hAnsiTheme="majorBidi" w:cstheme="majorBidi"/>
          <w:b/>
          <w:bCs/>
          <w:sz w:val="28"/>
          <w:szCs w:val="28"/>
        </w:rPr>
        <w:br w:type="page"/>
      </w:r>
    </w:p>
    <w:sectPr w:rsidR="002A0800" w:rsidRPr="00E8398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dvTTb5929f4c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64D0"/>
    <w:rsid w:val="0021044E"/>
    <w:rsid w:val="002645CF"/>
    <w:rsid w:val="002A0800"/>
    <w:rsid w:val="003764D0"/>
    <w:rsid w:val="00381835"/>
    <w:rsid w:val="0039129E"/>
    <w:rsid w:val="00403768"/>
    <w:rsid w:val="00552B86"/>
    <w:rsid w:val="008712F1"/>
    <w:rsid w:val="00D13812"/>
    <w:rsid w:val="00E23176"/>
    <w:rsid w:val="00E83984"/>
    <w:rsid w:val="00EE11AC"/>
    <w:rsid w:val="00FD1F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5A9ED4"/>
  <w15:chartTrackingRefBased/>
  <w15:docId w15:val="{25CD6948-0311-40AC-84DB-64A1EA96B7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764D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4</Pages>
  <Words>753</Words>
  <Characters>4297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Ola Gamil Saleh Abdo Mohammed</dc:creator>
  <cp:keywords/>
  <dc:description/>
  <cp:lastModifiedBy>Attas, Rabab A</cp:lastModifiedBy>
  <cp:revision>9</cp:revision>
  <dcterms:created xsi:type="dcterms:W3CDTF">2023-08-30T10:20:00Z</dcterms:created>
  <dcterms:modified xsi:type="dcterms:W3CDTF">2023-08-31T04:58:00Z</dcterms:modified>
</cp:coreProperties>
</file>