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62D4" w:rsidRDefault="000C45EF">
      <w:pPr>
        <w:pStyle w:val="Titolo1"/>
        <w:spacing w:before="170"/>
        <w:ind w:left="0"/>
      </w:pPr>
      <w:r>
        <w:rPr>
          <w:color w:val="337AB7"/>
        </w:rPr>
        <w:t xml:space="preserve">A bioinformatic approach in the design of polypeptide antigens useful for the </w:t>
      </w:r>
      <w:proofErr w:type="spellStart"/>
      <w:r>
        <w:rPr>
          <w:color w:val="337AB7"/>
        </w:rPr>
        <w:t>serodiagnosis</w:t>
      </w:r>
      <w:proofErr w:type="spellEnd"/>
      <w:r>
        <w:rPr>
          <w:color w:val="337AB7"/>
        </w:rPr>
        <w:t xml:space="preserve"> of the viral </w:t>
      </w:r>
      <w:proofErr w:type="spellStart"/>
      <w:r>
        <w:rPr>
          <w:color w:val="337AB7"/>
        </w:rPr>
        <w:t>quasispecies</w:t>
      </w:r>
      <w:proofErr w:type="spellEnd"/>
      <w:r>
        <w:rPr>
          <w:color w:val="337AB7"/>
        </w:rPr>
        <w:t xml:space="preserve"> SRLV and EIAV</w:t>
      </w:r>
    </w:p>
    <w:p w:rsidR="000762D4" w:rsidRDefault="000C45EF">
      <w:pPr>
        <w:pStyle w:val="Corpotesto"/>
        <w:spacing w:before="73" w:line="198" w:lineRule="exact"/>
        <w:ind w:left="100" w:right="5987"/>
        <w:rPr>
          <w:rFonts w:ascii="Times New Roman" w:eastAsia="Calibri" w:hAnsi="Times New Roman" w:cs="Times New Roman"/>
          <w:sz w:val="24"/>
          <w:szCs w:val="24"/>
          <w:lang w:val="it-IT"/>
        </w:rPr>
      </w:pPr>
      <w:r>
        <w:rPr>
          <w:rFonts w:ascii="Arial" w:hAnsi="Arial" w:cs="Arial"/>
          <w:lang w:val="it-IT"/>
        </w:rPr>
        <w:t>Angela Ostuni</w:t>
      </w:r>
      <w:r>
        <w:rPr>
          <w:rFonts w:ascii="Arial" w:hAnsi="Arial" w:cs="Arial"/>
          <w:vertAlign w:val="superscript"/>
          <w:lang w:val="it-IT"/>
        </w:rPr>
        <w:t>1</w:t>
      </w:r>
      <w:r>
        <w:rPr>
          <w:rFonts w:ascii="Arial" w:hAnsi="Arial" w:cs="Arial"/>
          <w:lang w:val="it-IT"/>
        </w:rPr>
        <w:t>, Magnus Monnè</w:t>
      </w:r>
      <w:r>
        <w:rPr>
          <w:rFonts w:ascii="Arial" w:hAnsi="Arial" w:cs="Arial"/>
          <w:vertAlign w:val="superscript"/>
          <w:lang w:val="it-IT"/>
        </w:rPr>
        <w:t>1</w:t>
      </w:r>
      <w:r>
        <w:rPr>
          <w:rFonts w:ascii="Arial" w:hAnsi="Arial" w:cs="Arial"/>
          <w:lang w:val="it-IT"/>
        </w:rPr>
        <w:t>, Maria Antonietta Crudele</w:t>
      </w:r>
      <w:r>
        <w:rPr>
          <w:rFonts w:ascii="Arial" w:hAnsi="Arial" w:cs="Arial"/>
          <w:vertAlign w:val="superscript"/>
          <w:lang w:val="it-IT"/>
        </w:rPr>
        <w:t>1</w:t>
      </w:r>
      <w:r>
        <w:rPr>
          <w:rFonts w:ascii="Arial" w:hAnsi="Arial" w:cs="Arial"/>
          <w:lang w:val="it-IT"/>
        </w:rPr>
        <w:t>, Paolo Raimondi</w:t>
      </w:r>
      <w:bookmarkStart w:id="0" w:name="_Hlk131851237"/>
      <w:r>
        <w:rPr>
          <w:rFonts w:ascii="Arial" w:hAnsi="Arial" w:cs="Arial"/>
          <w:vertAlign w:val="superscript"/>
          <w:lang w:val="it-IT"/>
        </w:rPr>
        <w:t>2</w:t>
      </w:r>
      <w:bookmarkEnd w:id="0"/>
      <w:r>
        <w:rPr>
          <w:rFonts w:ascii="Arial" w:hAnsi="Arial" w:cs="Arial"/>
          <w:lang w:val="it-IT"/>
        </w:rPr>
        <w:t xml:space="preserve">, Raffaele </w:t>
      </w:r>
      <w:r w:rsidRPr="00CC328E">
        <w:rPr>
          <w:rFonts w:ascii="Arial" w:hAnsi="Arial" w:cs="Arial"/>
          <w:lang w:val="it-IT"/>
        </w:rPr>
        <w:t>Frontoso</w:t>
      </w:r>
      <w:r w:rsidRPr="00CC328E">
        <w:rPr>
          <w:rFonts w:ascii="Arial" w:hAnsi="Arial" w:cs="Arial"/>
          <w:vertAlign w:val="superscript"/>
          <w:lang w:val="it-IT"/>
        </w:rPr>
        <w:t>2,3</w:t>
      </w:r>
      <w:r w:rsidRPr="00CC328E">
        <w:rPr>
          <w:rFonts w:ascii="Arial" w:hAnsi="Arial" w:cs="Arial"/>
          <w:lang w:val="it-IT"/>
        </w:rPr>
        <w:t>,</w:t>
      </w:r>
      <w:r>
        <w:rPr>
          <w:rFonts w:ascii="Arial" w:hAnsi="Arial" w:cs="Arial"/>
          <w:lang w:val="it-IT"/>
        </w:rPr>
        <w:t xml:space="preserve"> Jolanda De Vendel</w:t>
      </w:r>
      <w:r>
        <w:rPr>
          <w:rFonts w:ascii="Arial" w:hAnsi="Arial" w:cs="Arial"/>
          <w:vertAlign w:val="superscript"/>
          <w:lang w:val="it-IT"/>
        </w:rPr>
        <w:t>2</w:t>
      </w:r>
      <w:r>
        <w:rPr>
          <w:rFonts w:ascii="Arial" w:hAnsi="Arial" w:cs="Arial"/>
          <w:lang w:val="it-IT"/>
        </w:rPr>
        <w:t>, Alfonso Bavoso</w:t>
      </w:r>
      <w:r>
        <w:rPr>
          <w:rFonts w:ascii="Arial" w:hAnsi="Arial" w:cs="Arial"/>
          <w:vertAlign w:val="superscript"/>
          <w:lang w:val="it-IT"/>
        </w:rPr>
        <w:t>1</w:t>
      </w:r>
      <w:r>
        <w:rPr>
          <w:rFonts w:ascii="Times New Roman" w:eastAsia="Calibri" w:hAnsi="Times New Roman" w:cs="Times New Roman"/>
          <w:sz w:val="24"/>
          <w:szCs w:val="24"/>
          <w:lang w:val="it-IT"/>
        </w:rPr>
        <w:t xml:space="preserve"> </w:t>
      </w:r>
    </w:p>
    <w:p w:rsidR="000762D4" w:rsidRDefault="000762D4">
      <w:pPr>
        <w:pStyle w:val="Corpotesto"/>
        <w:spacing w:before="73" w:line="198" w:lineRule="exact"/>
        <w:ind w:left="100" w:right="5987"/>
        <w:rPr>
          <w:rFonts w:ascii="Times New Roman" w:eastAsia="Calibri" w:hAnsi="Times New Roman" w:cs="Times New Roman"/>
          <w:sz w:val="24"/>
          <w:szCs w:val="24"/>
          <w:lang w:val="it-IT"/>
        </w:rPr>
      </w:pPr>
    </w:p>
    <w:p w:rsidR="000762D4" w:rsidRDefault="000C45EF">
      <w:pPr>
        <w:pStyle w:val="Corpotesto"/>
        <w:spacing w:before="73" w:line="198" w:lineRule="exact"/>
        <w:ind w:left="100" w:right="5987"/>
        <w:rPr>
          <w:rFonts w:ascii="Arial" w:hAnsi="Arial" w:cs="Arial"/>
          <w:lang w:val="it-IT"/>
        </w:rPr>
      </w:pPr>
      <w:r>
        <w:rPr>
          <w:rFonts w:ascii="Arial" w:hAnsi="Arial" w:cs="Arial"/>
          <w:vertAlign w:val="superscript"/>
          <w:lang w:val="it-IT"/>
        </w:rPr>
        <w:t>1</w:t>
      </w:r>
      <w:r>
        <w:rPr>
          <w:rFonts w:ascii="Arial" w:hAnsi="Arial" w:cs="Arial"/>
          <w:lang w:val="it-IT"/>
        </w:rPr>
        <w:t xml:space="preserve">Department of Sciences, </w:t>
      </w:r>
      <w:proofErr w:type="spellStart"/>
      <w:r>
        <w:rPr>
          <w:rFonts w:ascii="Arial" w:hAnsi="Arial" w:cs="Arial"/>
          <w:lang w:val="it-IT"/>
        </w:rPr>
        <w:t>University</w:t>
      </w:r>
      <w:proofErr w:type="spellEnd"/>
      <w:r>
        <w:rPr>
          <w:rFonts w:ascii="Arial" w:hAnsi="Arial" w:cs="Arial"/>
          <w:lang w:val="it-IT"/>
        </w:rPr>
        <w:t xml:space="preserve"> of Basilicata, Potenza, </w:t>
      </w:r>
      <w:proofErr w:type="spellStart"/>
      <w:r>
        <w:rPr>
          <w:rFonts w:ascii="Arial" w:hAnsi="Arial" w:cs="Arial"/>
          <w:lang w:val="it-IT"/>
        </w:rPr>
        <w:t>Italy</w:t>
      </w:r>
      <w:proofErr w:type="spellEnd"/>
      <w:r>
        <w:rPr>
          <w:rFonts w:ascii="Arial" w:hAnsi="Arial" w:cs="Arial"/>
          <w:lang w:val="it-IT"/>
        </w:rPr>
        <w:t xml:space="preserve">; </w:t>
      </w:r>
      <w:r>
        <w:rPr>
          <w:rFonts w:ascii="Arial" w:hAnsi="Arial" w:cs="Arial"/>
          <w:vertAlign w:val="superscript"/>
          <w:lang w:val="it-IT"/>
        </w:rPr>
        <w:t>2</w:t>
      </w:r>
      <w:r>
        <w:rPr>
          <w:rFonts w:ascii="Times New Roman" w:eastAsia="Calibri" w:hAnsi="Times New Roman" w:cs="Times New Roman"/>
          <w:sz w:val="24"/>
          <w:szCs w:val="24"/>
          <w:lang w:val="it-IT"/>
        </w:rPr>
        <w:t xml:space="preserve"> </w:t>
      </w:r>
      <w:proofErr w:type="spellStart"/>
      <w:r>
        <w:rPr>
          <w:rFonts w:ascii="Arial" w:hAnsi="Arial" w:cs="Arial"/>
          <w:lang w:val="it-IT"/>
        </w:rPr>
        <w:t>OneHEco</w:t>
      </w:r>
      <w:proofErr w:type="spellEnd"/>
      <w:r>
        <w:rPr>
          <w:rFonts w:ascii="Arial" w:hAnsi="Arial" w:cs="Arial"/>
          <w:lang w:val="it-IT"/>
        </w:rPr>
        <w:t xml:space="preserve"> APS, Capaccio Paestum, (SA), </w:t>
      </w:r>
      <w:proofErr w:type="spellStart"/>
      <w:r>
        <w:rPr>
          <w:rFonts w:ascii="Arial" w:hAnsi="Arial" w:cs="Arial"/>
          <w:lang w:val="it-IT"/>
        </w:rPr>
        <w:t>Italy</w:t>
      </w:r>
      <w:proofErr w:type="spellEnd"/>
      <w:r>
        <w:rPr>
          <w:rFonts w:ascii="Arial" w:hAnsi="Arial" w:cs="Arial"/>
          <w:lang w:val="it-IT"/>
        </w:rPr>
        <w:t xml:space="preserve">- www.oneheco.org; </w:t>
      </w:r>
      <w:r>
        <w:rPr>
          <w:rFonts w:ascii="Arial" w:hAnsi="Arial" w:cs="Arial"/>
          <w:vertAlign w:val="superscript"/>
          <w:lang w:val="it-IT"/>
        </w:rPr>
        <w:t xml:space="preserve">3 </w:t>
      </w:r>
      <w:r>
        <w:rPr>
          <w:rFonts w:ascii="Arial" w:hAnsi="Arial" w:cs="Arial"/>
          <w:lang w:val="it-IT"/>
        </w:rPr>
        <w:t xml:space="preserve">Istituto Zooprofilattico Sperimentale del </w:t>
      </w:r>
      <w:proofErr w:type="spellStart"/>
      <w:proofErr w:type="gramStart"/>
      <w:r>
        <w:rPr>
          <w:rFonts w:ascii="Arial" w:hAnsi="Arial" w:cs="Arial"/>
          <w:lang w:val="it-IT"/>
        </w:rPr>
        <w:t>Mezzogiorno,Portici</w:t>
      </w:r>
      <w:proofErr w:type="spellEnd"/>
      <w:proofErr w:type="gramEnd"/>
      <w:r>
        <w:rPr>
          <w:rFonts w:ascii="Arial" w:hAnsi="Arial" w:cs="Arial"/>
          <w:lang w:val="it-IT"/>
        </w:rPr>
        <w:t xml:space="preserve"> (Napoli), </w:t>
      </w:r>
      <w:proofErr w:type="spellStart"/>
      <w:r>
        <w:rPr>
          <w:rFonts w:ascii="Arial" w:hAnsi="Arial" w:cs="Arial"/>
          <w:lang w:val="it-IT"/>
        </w:rPr>
        <w:t>Italy</w:t>
      </w:r>
      <w:proofErr w:type="spellEnd"/>
    </w:p>
    <w:p w:rsidR="000762D4" w:rsidRDefault="000762D4">
      <w:pPr>
        <w:pStyle w:val="Corpotesto"/>
        <w:rPr>
          <w:rFonts w:ascii="Arial"/>
          <w:sz w:val="20"/>
          <w:lang w:val="it-IT"/>
        </w:rPr>
      </w:pPr>
    </w:p>
    <w:p w:rsidR="000762D4" w:rsidRDefault="000762D4">
      <w:pPr>
        <w:rPr>
          <w:rFonts w:ascii="Arial"/>
          <w:sz w:val="21"/>
          <w:lang w:val="it-IT"/>
        </w:rPr>
        <w:sectPr w:rsidR="000762D4">
          <w:headerReference w:type="default" r:id="rId8"/>
          <w:footerReference w:type="default" r:id="rId9"/>
          <w:type w:val="continuous"/>
          <w:pgSz w:w="11910" w:h="16840"/>
          <w:pgMar w:top="1740" w:right="600" w:bottom="840" w:left="620" w:header="541" w:footer="642" w:gutter="0"/>
          <w:cols w:space="720"/>
        </w:sectPr>
      </w:pPr>
    </w:p>
    <w:p w:rsidR="000762D4" w:rsidRDefault="000C45EF">
      <w:pPr>
        <w:pStyle w:val="Titolo3"/>
        <w:spacing w:before="147"/>
        <w:jc w:val="both"/>
        <w:rPr>
          <w:color w:val="BF5A14"/>
        </w:rPr>
      </w:pPr>
      <w:r>
        <w:rPr>
          <w:color w:val="BF5A14"/>
        </w:rPr>
        <w:t xml:space="preserve">Abstract </w:t>
      </w:r>
    </w:p>
    <w:p w:rsidR="000762D4" w:rsidRDefault="000C45EF">
      <w:pPr>
        <w:jc w:val="both"/>
      </w:pPr>
      <w:r>
        <w:rPr>
          <w:rFonts w:eastAsia="CharisSIL" w:cs="Times New Roman"/>
          <w:color w:val="000000"/>
          <w:lang w:eastAsia="zh-CN" w:bidi="ar"/>
        </w:rPr>
        <w:t xml:space="preserve">As a consequence of their intrinsic genetic, structural and phenotypic variability animal Lentiviruses, including small ruminant lentivirus (SRLV) and equine infectious anemia virus (EIAV), are considered viral </w:t>
      </w:r>
      <w:proofErr w:type="spellStart"/>
      <w:r>
        <w:rPr>
          <w:rFonts w:eastAsia="CharisSIL" w:cs="Times New Roman"/>
          <w:color w:val="000000"/>
          <w:lang w:eastAsia="zh-CN" w:bidi="ar"/>
        </w:rPr>
        <w:t>quasispecies</w:t>
      </w:r>
      <w:proofErr w:type="spellEnd"/>
      <w:r>
        <w:rPr>
          <w:rFonts w:eastAsia="CharisSIL" w:cs="Times New Roman"/>
          <w:color w:val="000000"/>
          <w:lang w:bidi="ar"/>
        </w:rPr>
        <w:t>.</w:t>
      </w:r>
      <w:r>
        <w:rPr>
          <w:rFonts w:eastAsia="CharisSIL" w:cs="Times New Roman"/>
          <w:color w:val="000000"/>
          <w:lang w:eastAsia="zh-CN" w:bidi="ar"/>
        </w:rPr>
        <w:t xml:space="preserve"> </w:t>
      </w:r>
      <w:proofErr w:type="spellStart"/>
      <w:r>
        <w:rPr>
          <w:rFonts w:eastAsia="CharisSIL" w:cs="Times New Roman"/>
          <w:color w:val="000000"/>
          <w:lang w:eastAsia="zh-CN" w:bidi="ar"/>
        </w:rPr>
        <w:t>Immunoenzymatic</w:t>
      </w:r>
      <w:proofErr w:type="spellEnd"/>
      <w:r>
        <w:rPr>
          <w:rFonts w:eastAsia="CharisSIL" w:cs="Times New Roman"/>
          <w:color w:val="000000"/>
          <w:lang w:eastAsia="zh-CN" w:bidi="ar"/>
        </w:rPr>
        <w:t xml:space="preserve"> tests (ELISA) are commonly used in the </w:t>
      </w:r>
      <w:proofErr w:type="spellStart"/>
      <w:r>
        <w:rPr>
          <w:rFonts w:eastAsia="CharisSIL" w:cs="Times New Roman"/>
          <w:color w:val="000000"/>
          <w:lang w:eastAsia="zh-CN" w:bidi="ar"/>
        </w:rPr>
        <w:t>serodiagnosis</w:t>
      </w:r>
      <w:proofErr w:type="spellEnd"/>
      <w:r>
        <w:rPr>
          <w:rFonts w:eastAsia="CharisSIL" w:cs="Times New Roman"/>
          <w:color w:val="000000"/>
          <w:lang w:eastAsia="zh-CN" w:bidi="ar"/>
        </w:rPr>
        <w:t xml:space="preserve"> of SRLV and EIAV infections.</w:t>
      </w:r>
    </w:p>
    <w:p w:rsidR="000762D4" w:rsidRDefault="000C45EF">
      <w:pPr>
        <w:jc w:val="both"/>
        <w:rPr>
          <w:rFonts w:cs="Times New Roman"/>
        </w:rPr>
      </w:pPr>
      <w:r>
        <w:rPr>
          <w:rFonts w:eastAsia="CharisSIL" w:cs="Times New Roman"/>
          <w:color w:val="000000"/>
          <w:lang w:eastAsia="zh-CN" w:bidi="ar"/>
        </w:rPr>
        <w:t xml:space="preserve">However, for SRLV the dynamic heterogeneity of the virus makes the development of a diagnostic </w:t>
      </w:r>
      <w:r>
        <w:rPr>
          <w:rFonts w:eastAsia="STIX-Regular" w:cs="Times New Roman"/>
          <w:color w:val="000000"/>
          <w:lang w:eastAsia="zh-CN" w:bidi="ar"/>
        </w:rPr>
        <w:t>“</w:t>
      </w:r>
      <w:r>
        <w:rPr>
          <w:rFonts w:eastAsia="CharisSIL" w:cs="Times New Roman"/>
          <w:color w:val="000000"/>
          <w:lang w:eastAsia="zh-CN" w:bidi="ar"/>
        </w:rPr>
        <w:t>gold standard" extremely difficult.   In the case of EIA</w:t>
      </w:r>
      <w:r w:rsidRPr="00CC328E">
        <w:rPr>
          <w:rFonts w:eastAsia="CharisSIL" w:cs="Times New Roman"/>
          <w:color w:val="000000"/>
          <w:lang w:eastAsia="zh-CN" w:bidi="ar"/>
        </w:rPr>
        <w:t>V,</w:t>
      </w:r>
      <w:r>
        <w:rPr>
          <w:rFonts w:eastAsia="CharisSIL" w:cs="Times New Roman"/>
          <w:color w:val="000000"/>
          <w:lang w:eastAsia="zh-CN" w:bidi="ar"/>
        </w:rPr>
        <w:t xml:space="preserve"> ELISA were obtained mainly by using the capsid protein p26, which is derived almost exclusively from a single strain (Wyoming), and do not reflect the great potential </w:t>
      </w:r>
      <w:proofErr w:type="spellStart"/>
      <w:r>
        <w:rPr>
          <w:rFonts w:eastAsia="CharisSIL" w:cs="Times New Roman"/>
          <w:color w:val="000000"/>
          <w:lang w:eastAsia="zh-CN" w:bidi="ar"/>
        </w:rPr>
        <w:t>epitopic</w:t>
      </w:r>
      <w:proofErr w:type="spellEnd"/>
      <w:r>
        <w:rPr>
          <w:rFonts w:eastAsia="CharisSIL" w:cs="Times New Roman"/>
          <w:color w:val="000000"/>
          <w:lang w:eastAsia="zh-CN" w:bidi="ar"/>
        </w:rPr>
        <w:t xml:space="preserve"> variability of the EIAV </w:t>
      </w:r>
      <w:proofErr w:type="spellStart"/>
      <w:r>
        <w:rPr>
          <w:rFonts w:eastAsia="CharisSIL" w:cs="Times New Roman"/>
          <w:color w:val="000000"/>
          <w:lang w:eastAsia="zh-CN" w:bidi="ar"/>
        </w:rPr>
        <w:t>quasispecies</w:t>
      </w:r>
      <w:proofErr w:type="spellEnd"/>
      <w:r>
        <w:rPr>
          <w:rFonts w:eastAsia="CharisSIL" w:cs="Times New Roman"/>
          <w:color w:val="000000"/>
          <w:lang w:eastAsia="zh-CN" w:bidi="ar"/>
        </w:rPr>
        <w:t xml:space="preserve">.  Hundreds of protein sequences derived from different viral strains are deposited in GenBank for both SRLV and EIAV. In two different investigations GenBank database was exploited in a systematic approach to design a set of representative protein antigens useful for SRLV and EIAV </w:t>
      </w:r>
      <w:proofErr w:type="spellStart"/>
      <w:r>
        <w:rPr>
          <w:rFonts w:eastAsia="CharisSIL" w:cs="Times New Roman"/>
          <w:color w:val="000000"/>
          <w:lang w:eastAsia="zh-CN" w:bidi="ar"/>
        </w:rPr>
        <w:t>serodiagnosis</w:t>
      </w:r>
      <w:proofErr w:type="spellEnd"/>
      <w:r>
        <w:rPr>
          <w:rFonts w:eastAsia="CharisSIL" w:cs="Times New Roman"/>
          <w:color w:val="000000"/>
          <w:lang w:eastAsia="zh-CN" w:bidi="ar"/>
        </w:rPr>
        <w:t xml:space="preserve">. The main bioinformatic tools used were clustering, molecular modelling, molecular dynamics (in the case of SRLV) epitope predictions and aggregative/ solubility predictions. This approach, in the case of SRLV led to the design of two </w:t>
      </w:r>
      <w:proofErr w:type="spellStart"/>
      <w:r>
        <w:rPr>
          <w:rFonts w:eastAsia="CharisSIL" w:cs="Times New Roman"/>
          <w:color w:val="000000"/>
          <w:lang w:eastAsia="zh-CN" w:bidi="ar"/>
        </w:rPr>
        <w:t>capsidic</w:t>
      </w:r>
      <w:proofErr w:type="spellEnd"/>
      <w:r>
        <w:rPr>
          <w:rFonts w:eastAsia="CharisSIL" w:cs="Times New Roman"/>
          <w:color w:val="000000"/>
          <w:lang w:eastAsia="zh-CN" w:bidi="ar"/>
        </w:rPr>
        <w:t xml:space="preserve"> p25 polypeptide antigens and double-strain polypeptide antigen derived from the gp46 transmembrane protein (TM) whereas for EIAV a full sequence p26 capsid protein and a double-strain polypeptide derived from the gp45 transmembrane protein fused to Maltose Binding Protein (MBP) were designed. The proteins/ polypeptides were expressed by recombinant DNA technology starting from synthetic genes, and analyzed by circular dichroism (CD) spectroscopy in both investigations.   An indirect ELISA was developed for SRLV and another for EIAV.  Both tests can address some of the high variability of SRLV and EIAV. </w:t>
      </w:r>
    </w:p>
    <w:p w:rsidR="000762D4" w:rsidRDefault="000C45EF">
      <w:pPr>
        <w:pStyle w:val="Titolo3"/>
        <w:spacing w:before="74"/>
      </w:pPr>
      <w:r>
        <w:rPr>
          <w:b w:val="0"/>
          <w:sz w:val="22"/>
          <w:szCs w:val="22"/>
        </w:rPr>
        <w:br w:type="column"/>
      </w:r>
      <w:r w:rsidR="001D3C50">
        <w:rPr>
          <w:noProof/>
        </w:rPr>
        <w:drawing>
          <wp:inline distT="0" distB="0" distL="0" distR="0">
            <wp:extent cx="4186800" cy="2354400"/>
            <wp:effectExtent l="0" t="0" r="4445" b="825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 abstract Madri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86800" cy="2354400"/>
                    </a:xfrm>
                    <a:prstGeom prst="rect">
                      <a:avLst/>
                    </a:prstGeom>
                  </pic:spPr>
                </pic:pic>
              </a:graphicData>
            </a:graphic>
          </wp:inline>
        </w:drawing>
      </w:r>
    </w:p>
    <w:p w:rsidR="000762D4" w:rsidRDefault="000C45EF">
      <w:pPr>
        <w:spacing w:line="204" w:lineRule="exact"/>
        <w:rPr>
          <w:rFonts w:ascii="Arial"/>
          <w:b/>
          <w:sz w:val="20"/>
        </w:rPr>
      </w:pPr>
      <w:r>
        <w:rPr>
          <w:rFonts w:ascii="Arial"/>
          <w:b/>
          <w:color w:val="BF5A14"/>
          <w:sz w:val="20"/>
        </w:rPr>
        <w:br/>
        <w:t>Publications</w:t>
      </w:r>
    </w:p>
    <w:p w:rsidR="000762D4" w:rsidRDefault="000C45EF">
      <w:pPr>
        <w:pStyle w:val="Paragrafoelenco"/>
        <w:numPr>
          <w:ilvl w:val="0"/>
          <w:numId w:val="1"/>
        </w:numPr>
        <w:tabs>
          <w:tab w:val="left" w:pos="384"/>
        </w:tabs>
        <w:ind w:right="117"/>
        <w:rPr>
          <w:sz w:val="16"/>
          <w:szCs w:val="16"/>
        </w:rPr>
      </w:pPr>
      <w:r>
        <w:rPr>
          <w:sz w:val="16"/>
          <w:szCs w:val="16"/>
        </w:rPr>
        <w:t xml:space="preserve">Ostuni A, </w:t>
      </w:r>
      <w:proofErr w:type="spellStart"/>
      <w:r>
        <w:rPr>
          <w:sz w:val="16"/>
          <w:szCs w:val="16"/>
        </w:rPr>
        <w:t>Monné</w:t>
      </w:r>
      <w:proofErr w:type="spellEnd"/>
      <w:r>
        <w:rPr>
          <w:sz w:val="16"/>
          <w:szCs w:val="16"/>
        </w:rPr>
        <w:t xml:space="preserve"> M, </w:t>
      </w:r>
      <w:proofErr w:type="spellStart"/>
      <w:r>
        <w:rPr>
          <w:sz w:val="16"/>
          <w:szCs w:val="16"/>
        </w:rPr>
        <w:t>Crudele</w:t>
      </w:r>
      <w:proofErr w:type="spellEnd"/>
      <w:r>
        <w:rPr>
          <w:sz w:val="16"/>
          <w:szCs w:val="16"/>
        </w:rPr>
        <w:t xml:space="preserve"> MA, </w:t>
      </w:r>
      <w:proofErr w:type="spellStart"/>
      <w:r>
        <w:rPr>
          <w:sz w:val="16"/>
          <w:szCs w:val="16"/>
        </w:rPr>
        <w:t>Cristinziano</w:t>
      </w:r>
      <w:proofErr w:type="spellEnd"/>
      <w:r>
        <w:rPr>
          <w:sz w:val="16"/>
          <w:szCs w:val="16"/>
        </w:rPr>
        <w:t xml:space="preserve"> PL, </w:t>
      </w:r>
      <w:proofErr w:type="spellStart"/>
      <w:r>
        <w:rPr>
          <w:sz w:val="16"/>
          <w:szCs w:val="16"/>
        </w:rPr>
        <w:t>Cecchini</w:t>
      </w:r>
      <w:proofErr w:type="spellEnd"/>
      <w:r>
        <w:rPr>
          <w:sz w:val="16"/>
          <w:szCs w:val="16"/>
        </w:rPr>
        <w:t xml:space="preserve"> S, Amati </w:t>
      </w:r>
      <w:bookmarkStart w:id="1" w:name="_GoBack"/>
      <w:bookmarkEnd w:id="1"/>
      <w:r>
        <w:rPr>
          <w:sz w:val="16"/>
          <w:szCs w:val="16"/>
        </w:rPr>
        <w:t xml:space="preserve">M, De </w:t>
      </w:r>
      <w:proofErr w:type="spellStart"/>
      <w:r>
        <w:rPr>
          <w:sz w:val="16"/>
          <w:szCs w:val="16"/>
        </w:rPr>
        <w:t>Vendel</w:t>
      </w:r>
      <w:proofErr w:type="spellEnd"/>
      <w:r>
        <w:rPr>
          <w:sz w:val="16"/>
          <w:szCs w:val="16"/>
        </w:rPr>
        <w:t xml:space="preserve"> J, Raimondi P, </w:t>
      </w:r>
      <w:proofErr w:type="spellStart"/>
      <w:r>
        <w:rPr>
          <w:sz w:val="16"/>
          <w:szCs w:val="16"/>
        </w:rPr>
        <w:t>Chassalevris</w:t>
      </w:r>
      <w:proofErr w:type="spellEnd"/>
      <w:r>
        <w:rPr>
          <w:sz w:val="16"/>
          <w:szCs w:val="16"/>
        </w:rPr>
        <w:t xml:space="preserve"> T, </w:t>
      </w:r>
      <w:proofErr w:type="spellStart"/>
      <w:r>
        <w:rPr>
          <w:sz w:val="16"/>
          <w:szCs w:val="16"/>
        </w:rPr>
        <w:t>Dovas</w:t>
      </w:r>
      <w:proofErr w:type="spellEnd"/>
      <w:r>
        <w:rPr>
          <w:sz w:val="16"/>
          <w:szCs w:val="16"/>
        </w:rPr>
        <w:t xml:space="preserve"> CI, </w:t>
      </w:r>
      <w:proofErr w:type="spellStart"/>
      <w:r>
        <w:rPr>
          <w:sz w:val="16"/>
          <w:szCs w:val="16"/>
        </w:rPr>
        <w:t>Bavoso</w:t>
      </w:r>
      <w:proofErr w:type="spellEnd"/>
      <w:r>
        <w:rPr>
          <w:sz w:val="16"/>
          <w:szCs w:val="16"/>
        </w:rPr>
        <w:t xml:space="preserve"> A. Design and structural bioinformatic analysis of polypeptide antigens useful for the SRLV </w:t>
      </w:r>
      <w:proofErr w:type="spellStart"/>
      <w:r>
        <w:rPr>
          <w:sz w:val="16"/>
          <w:szCs w:val="16"/>
        </w:rPr>
        <w:t>serodiagnosis</w:t>
      </w:r>
      <w:proofErr w:type="spellEnd"/>
      <w:r>
        <w:rPr>
          <w:sz w:val="16"/>
          <w:szCs w:val="16"/>
        </w:rPr>
        <w:t xml:space="preserve">. J </w:t>
      </w:r>
      <w:proofErr w:type="spellStart"/>
      <w:r>
        <w:rPr>
          <w:sz w:val="16"/>
          <w:szCs w:val="16"/>
        </w:rPr>
        <w:t>Virol</w:t>
      </w:r>
      <w:proofErr w:type="spellEnd"/>
      <w:r>
        <w:rPr>
          <w:sz w:val="16"/>
          <w:szCs w:val="16"/>
        </w:rPr>
        <w:t xml:space="preserve"> Methods. 2021; 297:114266.</w:t>
      </w:r>
    </w:p>
    <w:p w:rsidR="00CC328E" w:rsidRDefault="000C45EF" w:rsidP="008A4F18">
      <w:pPr>
        <w:pStyle w:val="Paragrafoelenco"/>
        <w:numPr>
          <w:ilvl w:val="0"/>
          <w:numId w:val="1"/>
        </w:numPr>
        <w:tabs>
          <w:tab w:val="left" w:pos="384"/>
        </w:tabs>
        <w:ind w:right="117"/>
        <w:rPr>
          <w:sz w:val="16"/>
          <w:szCs w:val="16"/>
        </w:rPr>
      </w:pPr>
      <w:r w:rsidRPr="00CC328E">
        <w:rPr>
          <w:sz w:val="16"/>
          <w:szCs w:val="16"/>
        </w:rPr>
        <w:t xml:space="preserve">Ostuni A, </w:t>
      </w:r>
      <w:proofErr w:type="spellStart"/>
      <w:r w:rsidRPr="00CC328E">
        <w:rPr>
          <w:sz w:val="16"/>
          <w:szCs w:val="16"/>
        </w:rPr>
        <w:t>Iovane</w:t>
      </w:r>
      <w:proofErr w:type="spellEnd"/>
      <w:r w:rsidRPr="00CC328E">
        <w:rPr>
          <w:sz w:val="16"/>
          <w:szCs w:val="16"/>
        </w:rPr>
        <w:t xml:space="preserve"> V, </w:t>
      </w:r>
      <w:proofErr w:type="spellStart"/>
      <w:r w:rsidRPr="00CC328E">
        <w:rPr>
          <w:sz w:val="16"/>
          <w:szCs w:val="16"/>
        </w:rPr>
        <w:t>Monné</w:t>
      </w:r>
      <w:proofErr w:type="spellEnd"/>
      <w:r w:rsidRPr="00CC328E">
        <w:rPr>
          <w:sz w:val="16"/>
          <w:szCs w:val="16"/>
        </w:rPr>
        <w:t xml:space="preserve"> M, </w:t>
      </w:r>
      <w:proofErr w:type="spellStart"/>
      <w:r w:rsidRPr="00CC328E">
        <w:rPr>
          <w:sz w:val="16"/>
          <w:szCs w:val="16"/>
        </w:rPr>
        <w:t>Crudele</w:t>
      </w:r>
      <w:proofErr w:type="spellEnd"/>
      <w:r w:rsidRPr="00CC328E">
        <w:rPr>
          <w:sz w:val="16"/>
          <w:szCs w:val="16"/>
        </w:rPr>
        <w:t xml:space="preserve"> MA, Scicluna MT, </w:t>
      </w:r>
      <w:proofErr w:type="spellStart"/>
      <w:r w:rsidRPr="00CC328E">
        <w:rPr>
          <w:sz w:val="16"/>
          <w:szCs w:val="16"/>
        </w:rPr>
        <w:t>Nardini</w:t>
      </w:r>
      <w:proofErr w:type="spellEnd"/>
      <w:r w:rsidRPr="00CC328E">
        <w:rPr>
          <w:sz w:val="16"/>
          <w:szCs w:val="16"/>
        </w:rPr>
        <w:t xml:space="preserve"> R, Raimondi P, </w:t>
      </w:r>
      <w:proofErr w:type="spellStart"/>
      <w:r w:rsidRPr="00CC328E">
        <w:rPr>
          <w:sz w:val="16"/>
          <w:szCs w:val="16"/>
        </w:rPr>
        <w:t>Frontoso</w:t>
      </w:r>
      <w:proofErr w:type="spellEnd"/>
      <w:r w:rsidRPr="00CC328E">
        <w:rPr>
          <w:sz w:val="16"/>
          <w:szCs w:val="16"/>
        </w:rPr>
        <w:t xml:space="preserve"> R, </w:t>
      </w:r>
      <w:proofErr w:type="spellStart"/>
      <w:r w:rsidRPr="00CC328E">
        <w:rPr>
          <w:sz w:val="16"/>
          <w:szCs w:val="16"/>
        </w:rPr>
        <w:t>Boni</w:t>
      </w:r>
      <w:proofErr w:type="spellEnd"/>
      <w:r w:rsidRPr="00CC328E">
        <w:rPr>
          <w:sz w:val="16"/>
          <w:szCs w:val="16"/>
        </w:rPr>
        <w:t xml:space="preserve"> R, </w:t>
      </w:r>
      <w:proofErr w:type="spellStart"/>
      <w:r w:rsidRPr="00CC328E">
        <w:rPr>
          <w:sz w:val="16"/>
          <w:szCs w:val="16"/>
        </w:rPr>
        <w:t>Bavoso</w:t>
      </w:r>
      <w:proofErr w:type="spellEnd"/>
      <w:r w:rsidRPr="00CC328E">
        <w:rPr>
          <w:sz w:val="16"/>
          <w:szCs w:val="16"/>
        </w:rPr>
        <w:t xml:space="preserve"> A. A double-strain TM (gp45) polypeptide antigen and its application in the </w:t>
      </w:r>
      <w:proofErr w:type="spellStart"/>
      <w:r w:rsidRPr="00CC328E">
        <w:rPr>
          <w:sz w:val="16"/>
          <w:szCs w:val="16"/>
        </w:rPr>
        <w:t>serodiagnosis</w:t>
      </w:r>
      <w:proofErr w:type="spellEnd"/>
      <w:r w:rsidRPr="00CC328E">
        <w:rPr>
          <w:sz w:val="16"/>
          <w:szCs w:val="16"/>
        </w:rPr>
        <w:t xml:space="preserve"> of equine infectious anemia. J </w:t>
      </w:r>
      <w:proofErr w:type="spellStart"/>
      <w:r w:rsidRPr="00CC328E">
        <w:rPr>
          <w:sz w:val="16"/>
          <w:szCs w:val="16"/>
        </w:rPr>
        <w:t>Virol</w:t>
      </w:r>
      <w:proofErr w:type="spellEnd"/>
      <w:r w:rsidRPr="00CC328E">
        <w:rPr>
          <w:sz w:val="16"/>
          <w:szCs w:val="16"/>
        </w:rPr>
        <w:t xml:space="preserve"> Methods. 2023; 315:114704</w:t>
      </w:r>
    </w:p>
    <w:p w:rsidR="000762D4" w:rsidRPr="00CC328E" w:rsidRDefault="000C45EF" w:rsidP="008A4F18">
      <w:pPr>
        <w:pStyle w:val="Paragrafoelenco"/>
        <w:numPr>
          <w:ilvl w:val="0"/>
          <w:numId w:val="1"/>
        </w:numPr>
        <w:tabs>
          <w:tab w:val="left" w:pos="384"/>
        </w:tabs>
        <w:ind w:right="117"/>
        <w:rPr>
          <w:sz w:val="16"/>
          <w:szCs w:val="16"/>
        </w:rPr>
      </w:pPr>
      <w:r w:rsidRPr="00CC328E">
        <w:rPr>
          <w:sz w:val="16"/>
          <w:szCs w:val="16"/>
        </w:rPr>
        <w:t xml:space="preserve">Huang, Y., </w:t>
      </w:r>
      <w:proofErr w:type="spellStart"/>
      <w:r w:rsidRPr="00CC328E">
        <w:rPr>
          <w:sz w:val="16"/>
          <w:szCs w:val="16"/>
        </w:rPr>
        <w:t>Niu</w:t>
      </w:r>
      <w:proofErr w:type="spellEnd"/>
      <w:r w:rsidRPr="00CC328E">
        <w:rPr>
          <w:sz w:val="16"/>
          <w:szCs w:val="16"/>
        </w:rPr>
        <w:t xml:space="preserve">, B., Gao, Y., et al. CD-HIT Suite: a web server for clustering and comparing biological sequences. Bioinformatics 2010, (Oxford, England) 26 (5), 680–682. </w:t>
      </w:r>
    </w:p>
    <w:p w:rsidR="000762D4" w:rsidRPr="00CC328E" w:rsidRDefault="000C45EF">
      <w:pPr>
        <w:pStyle w:val="Paragrafoelenco"/>
        <w:numPr>
          <w:ilvl w:val="0"/>
          <w:numId w:val="1"/>
        </w:numPr>
        <w:tabs>
          <w:tab w:val="left" w:pos="384"/>
        </w:tabs>
        <w:ind w:right="117"/>
        <w:rPr>
          <w:rFonts w:asciiTheme="minorHAnsi" w:hAnsiTheme="minorHAnsi" w:cstheme="minorHAnsi"/>
          <w:sz w:val="16"/>
          <w:szCs w:val="16"/>
        </w:rPr>
      </w:pPr>
      <w:r>
        <w:rPr>
          <w:sz w:val="16"/>
          <w:szCs w:val="16"/>
        </w:rPr>
        <w:t xml:space="preserve">Ashkenazy, H., Abadi, S., Martz, E., </w:t>
      </w:r>
      <w:proofErr w:type="spellStart"/>
      <w:r>
        <w:rPr>
          <w:sz w:val="16"/>
          <w:szCs w:val="16"/>
        </w:rPr>
        <w:t>Chay</w:t>
      </w:r>
      <w:proofErr w:type="spellEnd"/>
      <w:r>
        <w:rPr>
          <w:sz w:val="16"/>
          <w:szCs w:val="16"/>
        </w:rPr>
        <w:t xml:space="preserve">, O., </w:t>
      </w:r>
      <w:proofErr w:type="spellStart"/>
      <w:r>
        <w:rPr>
          <w:sz w:val="16"/>
          <w:szCs w:val="16"/>
        </w:rPr>
        <w:t>Mayrose</w:t>
      </w:r>
      <w:proofErr w:type="spellEnd"/>
      <w:r>
        <w:rPr>
          <w:sz w:val="16"/>
          <w:szCs w:val="16"/>
        </w:rPr>
        <w:t xml:space="preserve">, I., </w:t>
      </w:r>
      <w:proofErr w:type="spellStart"/>
      <w:r>
        <w:rPr>
          <w:sz w:val="16"/>
          <w:szCs w:val="16"/>
        </w:rPr>
        <w:t>Pupko</w:t>
      </w:r>
      <w:proofErr w:type="spellEnd"/>
      <w:r>
        <w:rPr>
          <w:sz w:val="16"/>
          <w:szCs w:val="16"/>
        </w:rPr>
        <w:t xml:space="preserve">, T., and Ben-Tal, N. </w:t>
      </w:r>
      <w:proofErr w:type="spellStart"/>
      <w:r>
        <w:rPr>
          <w:sz w:val="16"/>
          <w:szCs w:val="16"/>
        </w:rPr>
        <w:t>ConSurf</w:t>
      </w:r>
      <w:proofErr w:type="spellEnd"/>
      <w:r>
        <w:rPr>
          <w:sz w:val="16"/>
          <w:szCs w:val="16"/>
        </w:rPr>
        <w:t xml:space="preserve"> 2016: an improved methodology to estimate and visualize evolutionary conservation in macromolecules. Nucleic </w:t>
      </w:r>
      <w:r w:rsidRPr="00CC328E">
        <w:rPr>
          <w:rFonts w:asciiTheme="minorHAnsi" w:hAnsiTheme="minorHAnsi" w:cstheme="minorHAnsi"/>
          <w:sz w:val="16"/>
          <w:szCs w:val="16"/>
        </w:rPr>
        <w:t>Acids Res. 2016, 44, W344-350.</w:t>
      </w:r>
    </w:p>
    <w:p w:rsidR="00CC328E" w:rsidRPr="00CC328E" w:rsidRDefault="00CC328E" w:rsidP="00CC328E">
      <w:pPr>
        <w:pStyle w:val="Paragrafoelenco"/>
        <w:widowControl/>
        <w:numPr>
          <w:ilvl w:val="0"/>
          <w:numId w:val="1"/>
        </w:numPr>
        <w:shd w:val="clear" w:color="auto" w:fill="FFFFFF"/>
        <w:rPr>
          <w:rFonts w:asciiTheme="minorHAnsi" w:hAnsiTheme="minorHAnsi" w:cstheme="minorHAnsi"/>
          <w:color w:val="222222"/>
          <w:sz w:val="16"/>
          <w:szCs w:val="16"/>
        </w:rPr>
      </w:pPr>
      <w:proofErr w:type="spellStart"/>
      <w:r w:rsidRPr="00CC328E">
        <w:rPr>
          <w:rFonts w:asciiTheme="minorHAnsi" w:hAnsiTheme="minorHAnsi" w:cstheme="minorHAnsi"/>
          <w:color w:val="000000"/>
          <w:sz w:val="16"/>
          <w:szCs w:val="16"/>
        </w:rPr>
        <w:t>Fiser</w:t>
      </w:r>
      <w:proofErr w:type="spellEnd"/>
      <w:r w:rsidRPr="00CC328E">
        <w:rPr>
          <w:rFonts w:asciiTheme="minorHAnsi" w:hAnsiTheme="minorHAnsi" w:cstheme="minorHAnsi"/>
          <w:color w:val="000000"/>
          <w:sz w:val="16"/>
          <w:szCs w:val="16"/>
        </w:rPr>
        <w:t xml:space="preserve">, A., </w:t>
      </w:r>
      <w:proofErr w:type="spellStart"/>
      <w:r w:rsidRPr="00CC328E">
        <w:rPr>
          <w:rFonts w:asciiTheme="minorHAnsi" w:hAnsiTheme="minorHAnsi" w:cstheme="minorHAnsi"/>
          <w:color w:val="000000"/>
          <w:sz w:val="16"/>
          <w:szCs w:val="16"/>
        </w:rPr>
        <w:t>Sali</w:t>
      </w:r>
      <w:proofErr w:type="spellEnd"/>
      <w:r w:rsidRPr="00CC328E">
        <w:rPr>
          <w:rFonts w:asciiTheme="minorHAnsi" w:hAnsiTheme="minorHAnsi" w:cstheme="minorHAnsi"/>
          <w:color w:val="000000"/>
          <w:sz w:val="16"/>
          <w:szCs w:val="16"/>
        </w:rPr>
        <w:t xml:space="preserve">, A., 2003. </w:t>
      </w:r>
      <w:proofErr w:type="spellStart"/>
      <w:r w:rsidRPr="00CC328E">
        <w:rPr>
          <w:rFonts w:asciiTheme="minorHAnsi" w:hAnsiTheme="minorHAnsi" w:cstheme="minorHAnsi"/>
          <w:color w:val="000000"/>
          <w:sz w:val="16"/>
          <w:szCs w:val="16"/>
        </w:rPr>
        <w:t>Modeller</w:t>
      </w:r>
      <w:proofErr w:type="spellEnd"/>
      <w:r w:rsidRPr="00CC328E">
        <w:rPr>
          <w:rFonts w:asciiTheme="minorHAnsi" w:hAnsiTheme="minorHAnsi" w:cstheme="minorHAnsi"/>
          <w:color w:val="000000"/>
          <w:sz w:val="16"/>
          <w:szCs w:val="16"/>
        </w:rPr>
        <w:t xml:space="preserve">: generation and refinement of homology-based protein structure models. Methods </w:t>
      </w:r>
      <w:proofErr w:type="spellStart"/>
      <w:r w:rsidRPr="00CC328E">
        <w:rPr>
          <w:rFonts w:asciiTheme="minorHAnsi" w:hAnsiTheme="minorHAnsi" w:cstheme="minorHAnsi"/>
          <w:color w:val="000000"/>
          <w:sz w:val="16"/>
          <w:szCs w:val="16"/>
        </w:rPr>
        <w:t>Enzymol</w:t>
      </w:r>
      <w:proofErr w:type="spellEnd"/>
      <w:r w:rsidRPr="00CC328E">
        <w:rPr>
          <w:rFonts w:asciiTheme="minorHAnsi" w:hAnsiTheme="minorHAnsi" w:cstheme="minorHAnsi"/>
          <w:color w:val="000000"/>
          <w:sz w:val="16"/>
          <w:szCs w:val="16"/>
        </w:rPr>
        <w:t>. 374, 461–491. </w:t>
      </w:r>
    </w:p>
    <w:p w:rsidR="000762D4" w:rsidRDefault="000C45EF">
      <w:pPr>
        <w:spacing w:line="200" w:lineRule="exact"/>
        <w:jc w:val="both"/>
        <w:rPr>
          <w:rFonts w:ascii="Calibri" w:hAnsi="Calibri"/>
        </w:rPr>
        <w:sectPr w:rsidR="000762D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762D4" w:rsidRDefault="000762D4">
      <w:pPr>
        <w:pStyle w:val="Corpotesto"/>
        <w:spacing w:line="40" w:lineRule="exact"/>
        <w:ind w:left="2202"/>
        <w:rPr>
          <w:rFonts w:ascii="Calibri"/>
          <w:sz w:val="4"/>
        </w:rPr>
      </w:pPr>
    </w:p>
    <w:p w:rsidR="000762D4" w:rsidRDefault="000C45EF">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5A78B84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38zGR+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762D4" w:rsidRDefault="000C45EF">
      <w:pPr>
        <w:spacing w:before="92"/>
        <w:ind w:right="4234"/>
        <w:rPr>
          <w:rFonts w:ascii="Arial"/>
          <w:color w:val="BF5A14"/>
        </w:rPr>
      </w:pPr>
      <w:r>
        <w:t xml:space="preserve">              </w:t>
      </w:r>
      <w:r>
        <w:rPr>
          <w:noProof/>
        </w:rPr>
        <w:drawing>
          <wp:inline distT="0" distB="0" distL="0" distR="0">
            <wp:extent cx="812800" cy="688340"/>
            <wp:effectExtent l="57150" t="0" r="63500" b="11176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1"/>
                    <a:srcRect l="42177" b="17241"/>
                    <a:stretch>
                      <a:fillRect/>
                    </a:stretch>
                  </pic:blipFill>
                  <pic:spPr>
                    <a:xfrm>
                      <a:off x="0" y="0"/>
                      <a:ext cx="813856" cy="689383"/>
                    </a:xfrm>
                    <a:prstGeom prst="rect">
                      <a:avLst/>
                    </a:prstGeom>
                    <a:ln>
                      <a:noFill/>
                    </a:ln>
                    <a:effectLst>
                      <a:outerShdw blurRad="50800" dist="50800" dir="5400000" algn="ctr" rotWithShape="0">
                        <a:srgbClr val="000000">
                          <a:alpha val="14000"/>
                        </a:srgbClr>
                      </a:outerShdw>
                    </a:effectLst>
                  </pic:spPr>
                </pic:pic>
              </a:graphicData>
            </a:graphic>
          </wp:inline>
        </w:drawing>
      </w:r>
      <w:r>
        <w:rPr>
          <w:rFonts w:ascii="Arial"/>
          <w:color w:val="BF5A14"/>
        </w:rPr>
        <w:t xml:space="preserve">Biography </w:t>
      </w:r>
    </w:p>
    <w:p w:rsidR="000762D4" w:rsidRDefault="000C45EF">
      <w:pPr>
        <w:jc w:val="both"/>
        <w:rPr>
          <w:rFonts w:ascii="Arial"/>
          <w:sz w:val="14"/>
        </w:rPr>
      </w:pPr>
      <w:r>
        <w:rPr>
          <w:rFonts w:ascii="Arial" w:eastAsia="Arial" w:hAnsi="Arial" w:cs="Arial"/>
          <w:color w:val="3B3838"/>
          <w:sz w:val="14"/>
          <w:szCs w:val="14"/>
        </w:rPr>
        <w:t xml:space="preserve">Dr. Angela Ostuni is, Assistant Professor in Clinical Biochemistry and Clinical Molecular Biology at the University of Basilicata (Italy), Teaching activity: Medical-Diagnostic Biotechnologies. </w:t>
      </w:r>
      <w:r>
        <w:rPr>
          <w:rFonts w:ascii="Arial" w:eastAsia="Arial" w:hAnsi="Arial" w:cs="Arial"/>
          <w:color w:val="3B3838"/>
          <w:sz w:val="14"/>
          <w:szCs w:val="14"/>
          <w:lang w:val="en-GB"/>
        </w:rPr>
        <w:t>Main research interests</w:t>
      </w:r>
      <w:r>
        <w:rPr>
          <w:rFonts w:ascii="Arial" w:eastAsia="Arial" w:hAnsi="Arial" w:cs="Arial"/>
          <w:color w:val="3B3838"/>
          <w:sz w:val="14"/>
          <w:szCs w:val="14"/>
        </w:rPr>
        <w:t xml:space="preserve">: </w:t>
      </w:r>
      <w:r>
        <w:rPr>
          <w:rFonts w:ascii="Arial" w:eastAsia="Arial" w:hAnsi="Arial" w:cs="Arial"/>
          <w:color w:val="3B3838"/>
          <w:sz w:val="14"/>
          <w:szCs w:val="14"/>
          <w:lang w:val="en-GB"/>
        </w:rPr>
        <w:t>Immunochemistry: structural design and characterization of antigens; Biological function and structure of ABCC6 membrane transporter in cancer, drug resistance and genetic diseases; Biomarkers in diagnostics of cancer and viral infections. Analysis of follicular fluids of patients who approach techniques of medically assisted</w:t>
      </w:r>
      <w:r>
        <w:rPr>
          <w:rFonts w:ascii="Arial" w:eastAsia="Arial" w:hAnsi="Arial" w:cs="Arial"/>
          <w:color w:val="3B3838"/>
          <w:sz w:val="14"/>
          <w:szCs w:val="14"/>
        </w:rPr>
        <w:t xml:space="preserve"> procreation. Co-author of 59 publications in Scopus/</w:t>
      </w:r>
      <w:proofErr w:type="spellStart"/>
      <w:r>
        <w:rPr>
          <w:rFonts w:ascii="Arial" w:eastAsia="Arial" w:hAnsi="Arial" w:cs="Arial"/>
          <w:color w:val="3B3838"/>
          <w:sz w:val="14"/>
          <w:szCs w:val="14"/>
        </w:rPr>
        <w:t>Wos</w:t>
      </w:r>
      <w:proofErr w:type="spellEnd"/>
      <w:r>
        <w:rPr>
          <w:rFonts w:ascii="Arial" w:eastAsia="Arial" w:hAnsi="Arial" w:cs="Arial"/>
          <w:color w:val="3B3838"/>
          <w:sz w:val="14"/>
          <w:szCs w:val="14"/>
        </w:rPr>
        <w:t xml:space="preserve"> indexed journals, 20 journal abstracts, 80 abstracts and contributions in conference proceedings. </w:t>
      </w:r>
      <w:r>
        <w:rPr>
          <w:rFonts w:ascii="Arial"/>
          <w:sz w:val="14"/>
        </w:rPr>
        <w:t xml:space="preserve">Email: </w:t>
      </w:r>
      <w:hyperlink r:id="rId12" w:history="1">
        <w:r>
          <w:rPr>
            <w:rStyle w:val="Collegamentoipertestuale"/>
            <w:rFonts w:ascii="Arial"/>
            <w:sz w:val="14"/>
          </w:rPr>
          <w:t>angela.ostuni@unibas.it</w:t>
        </w:r>
      </w:hyperlink>
      <w:r>
        <w:rPr>
          <w:rFonts w:ascii="Arial" w:eastAsia="Arial" w:hAnsi="Arial" w:cs="Arial"/>
          <w:color w:val="3B3838"/>
          <w:sz w:val="14"/>
          <w:szCs w:val="14"/>
          <w:lang w:val="en-GB"/>
        </w:rPr>
        <w:t xml:space="preserve">. </w:t>
      </w:r>
    </w:p>
    <w:sectPr w:rsidR="000762D4">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68FA" w:rsidRDefault="001D68FA">
      <w:r>
        <w:separator/>
      </w:r>
    </w:p>
  </w:endnote>
  <w:endnote w:type="continuationSeparator" w:id="0">
    <w:p w:rsidR="001D68FA" w:rsidRDefault="001D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CharisSIL">
    <w:altName w:val="Calibri"/>
    <w:charset w:val="00"/>
    <w:family w:val="auto"/>
    <w:pitch w:val="default"/>
  </w:font>
  <w:font w:name="STIX-Regular">
    <w:altName w:val="Cambria"/>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62D4" w:rsidRDefault="000C45EF">
    <w:pPr>
      <w:pStyle w:val="Corpotesto"/>
      <w:spacing w:line="14" w:lineRule="auto"/>
      <w:rPr>
        <w:sz w:val="20"/>
      </w:rPr>
    </w:pPr>
    <w:r>
      <w:rPr>
        <w:noProof/>
        <w:lang w:val="it-IT" w:eastAsia="it-IT"/>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0762D4" w:rsidRDefault="000C45EF">
                          <w:pPr>
                            <w:spacing w:line="269" w:lineRule="exact"/>
                            <w:jc w:val="center"/>
                            <w:rPr>
                              <w:rFonts w:ascii="Impact"/>
                              <w:color w:val="FFFFFF" w:themeColor="background1"/>
                              <w:sz w:val="24"/>
                            </w:rPr>
                          </w:pPr>
                          <w:r>
                            <w:rPr>
                              <w:rFonts w:ascii="Impact"/>
                              <w:color w:val="FFFFFF" w:themeColor="background1"/>
                              <w:sz w:val="24"/>
                            </w:rPr>
                            <w:t>Fibromyalgia 2016</w:t>
                          </w:r>
                        </w:p>
                        <w:p w:rsidR="000762D4" w:rsidRDefault="000C45EF">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rsidR="000762D4" w:rsidRDefault="000C45EF">
                    <w:pPr>
                      <w:spacing w:line="269" w:lineRule="exact"/>
                      <w:jc w:val="center"/>
                      <w:rPr>
                        <w:rFonts w:ascii="Impact"/>
                        <w:color w:val="FFFFFF" w:themeColor="background1"/>
                        <w:sz w:val="24"/>
                      </w:rPr>
                    </w:pPr>
                    <w:r>
                      <w:rPr>
                        <w:rFonts w:ascii="Impact"/>
                        <w:color w:val="FFFFFF" w:themeColor="background1"/>
                        <w:sz w:val="24"/>
                      </w:rPr>
                      <w:t>Fibromyalgia 2016</w:t>
                    </w:r>
                  </w:p>
                  <w:p w:rsidR="000762D4" w:rsidRDefault="000C45EF">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0762D4" w:rsidRDefault="000C45EF">
                          <w:pPr>
                            <w:spacing w:line="184" w:lineRule="exact"/>
                            <w:ind w:right="18"/>
                            <w:jc w:val="right"/>
                            <w:rPr>
                              <w:rFonts w:ascii="Arial"/>
                              <w:color w:val="FFFFFF" w:themeColor="background1"/>
                              <w:sz w:val="16"/>
                            </w:rPr>
                          </w:pPr>
                          <w:r>
                            <w:rPr>
                              <w:rFonts w:ascii="Arial"/>
                              <w:color w:val="FFFFFF" w:themeColor="background1"/>
                              <w:sz w:val="16"/>
                            </w:rPr>
                            <w:t>Volume 5, Issue 3(Suppl)</w:t>
                          </w:r>
                        </w:p>
                        <w:p w:rsidR="000762D4" w:rsidRDefault="000C45EF">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id="Text Box 1" o:spid="_x0000_s1028" type="#_x0000_t202" style="position:absolute;margin-left:468.9pt;margin-top:798.8pt;width:91.4pt;height:26.0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rsidR="000762D4" w:rsidRDefault="000C45EF">
                    <w:pPr>
                      <w:spacing w:line="184" w:lineRule="exact"/>
                      <w:ind w:right="18"/>
                      <w:jc w:val="right"/>
                      <w:rPr>
                        <w:rFonts w:ascii="Arial"/>
                        <w:color w:val="FFFFFF" w:themeColor="background1"/>
                        <w:sz w:val="16"/>
                      </w:rPr>
                    </w:pPr>
                    <w:r>
                      <w:rPr>
                        <w:rFonts w:ascii="Arial"/>
                        <w:color w:val="FFFFFF" w:themeColor="background1"/>
                        <w:sz w:val="16"/>
                      </w:rPr>
                      <w:t>Volume 5, Issue 3(Suppl)</w:t>
                    </w:r>
                  </w:p>
                  <w:p w:rsidR="000762D4" w:rsidRDefault="000C45EF">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68FA" w:rsidRDefault="001D68FA">
      <w:r>
        <w:separator/>
      </w:r>
    </w:p>
  </w:footnote>
  <w:footnote w:type="continuationSeparator" w:id="0">
    <w:p w:rsidR="001D68FA" w:rsidRDefault="001D6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62D4" w:rsidRDefault="000C45EF">
    <w:pPr>
      <w:pStyle w:val="Corpotesto"/>
      <w:spacing w:line="14" w:lineRule="auto"/>
      <w:rPr>
        <w:sz w:val="20"/>
      </w:rPr>
    </w:pPr>
    <w:r>
      <w:rPr>
        <w:noProof/>
        <w:lang w:val="it-IT" w:eastAsia="it-IT"/>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rsidR="000762D4" w:rsidRDefault="000C45EF">
                          <w:pPr>
                            <w:pStyle w:val="Corpotesto"/>
                            <w:spacing w:line="187" w:lineRule="exact"/>
                            <w:ind w:left="20" w:right="-10"/>
                            <w:rPr>
                              <w:rFonts w:ascii="Myriad Pro"/>
                              <w:color w:val="FFFFFF" w:themeColor="background1"/>
                            </w:rPr>
                          </w:pPr>
                          <w:r>
                            <w:rPr>
                              <w:rFonts w:ascii="Myriad Pro"/>
                              <w:color w:val="FFFFFF" w:themeColor="background1"/>
                            </w:rPr>
                            <w:t>International Conference on</w:t>
                          </w:r>
                        </w:p>
                        <w:p w:rsidR="000762D4" w:rsidRDefault="000C45EF">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rsidR="000762D4" w:rsidRDefault="000C45EF">
                    <w:pPr>
                      <w:pStyle w:val="Corpotesto"/>
                      <w:spacing w:line="187" w:lineRule="exact"/>
                      <w:ind w:left="20" w:right="-10"/>
                      <w:rPr>
                        <w:rFonts w:ascii="Myriad Pro"/>
                        <w:color w:val="FFFFFF" w:themeColor="background1"/>
                      </w:rPr>
                    </w:pPr>
                    <w:r>
                      <w:rPr>
                        <w:rFonts w:ascii="Myriad Pro"/>
                        <w:color w:val="FFFFFF" w:themeColor="background1"/>
                      </w:rPr>
                      <w:t>International Conference on</w:t>
                    </w:r>
                  </w:p>
                  <w:p w:rsidR="000762D4" w:rsidRDefault="000C45EF">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0D752A"/>
    <w:multiLevelType w:val="multilevel"/>
    <w:tmpl w:val="4F0D75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334A"/>
    <w:rsid w:val="000762D4"/>
    <w:rsid w:val="000C113C"/>
    <w:rsid w:val="000C45EF"/>
    <w:rsid w:val="000E2911"/>
    <w:rsid w:val="000F3866"/>
    <w:rsid w:val="00103F85"/>
    <w:rsid w:val="001263DF"/>
    <w:rsid w:val="001C6BFD"/>
    <w:rsid w:val="001D03DD"/>
    <w:rsid w:val="001D3C50"/>
    <w:rsid w:val="001D68FA"/>
    <w:rsid w:val="001E763C"/>
    <w:rsid w:val="00201045"/>
    <w:rsid w:val="00292ED9"/>
    <w:rsid w:val="002D7F47"/>
    <w:rsid w:val="00314AFB"/>
    <w:rsid w:val="0033536A"/>
    <w:rsid w:val="003A5A1B"/>
    <w:rsid w:val="003B76D9"/>
    <w:rsid w:val="003F637E"/>
    <w:rsid w:val="00404E5B"/>
    <w:rsid w:val="00414F7B"/>
    <w:rsid w:val="004355DC"/>
    <w:rsid w:val="00457BE8"/>
    <w:rsid w:val="004749B4"/>
    <w:rsid w:val="00494130"/>
    <w:rsid w:val="004F31E0"/>
    <w:rsid w:val="004F3523"/>
    <w:rsid w:val="005973B9"/>
    <w:rsid w:val="005B3A56"/>
    <w:rsid w:val="005C1BAE"/>
    <w:rsid w:val="005F111F"/>
    <w:rsid w:val="006060CE"/>
    <w:rsid w:val="0063497F"/>
    <w:rsid w:val="00670699"/>
    <w:rsid w:val="0072330A"/>
    <w:rsid w:val="00774FEC"/>
    <w:rsid w:val="0077776F"/>
    <w:rsid w:val="0078738A"/>
    <w:rsid w:val="007B05E3"/>
    <w:rsid w:val="007D6782"/>
    <w:rsid w:val="00873DF0"/>
    <w:rsid w:val="008756E6"/>
    <w:rsid w:val="009031BC"/>
    <w:rsid w:val="009514CD"/>
    <w:rsid w:val="009B2B2C"/>
    <w:rsid w:val="009B2D44"/>
    <w:rsid w:val="00A07E82"/>
    <w:rsid w:val="00A9710C"/>
    <w:rsid w:val="00AE3E37"/>
    <w:rsid w:val="00AF2088"/>
    <w:rsid w:val="00B21A57"/>
    <w:rsid w:val="00C14FB6"/>
    <w:rsid w:val="00C33602"/>
    <w:rsid w:val="00CC328E"/>
    <w:rsid w:val="00CD6F55"/>
    <w:rsid w:val="00D4032A"/>
    <w:rsid w:val="00D62425"/>
    <w:rsid w:val="00DE3104"/>
    <w:rsid w:val="00E860DD"/>
    <w:rsid w:val="00F2556A"/>
    <w:rsid w:val="00F4085D"/>
    <w:rsid w:val="00F72EEA"/>
    <w:rsid w:val="00F8136A"/>
    <w:rsid w:val="00F84CAE"/>
    <w:rsid w:val="00FB0134"/>
    <w:rsid w:val="17F30271"/>
    <w:rsid w:val="7F2921B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D0A5BAD-4F69-4864-BA0C-E8030ECC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pPr>
      <w:widowControl w:val="0"/>
    </w:pPr>
    <w:rPr>
      <w:rFonts w:ascii="Tw Cen MT" w:eastAsia="Tw Cen MT" w:hAnsi="Tw Cen MT" w:cs="Tw Cen MT"/>
      <w:sz w:val="22"/>
      <w:szCs w:val="22"/>
      <w:lang w:val="en-US" w:eastAsia="en-US"/>
    </w:rPr>
  </w:style>
  <w:style w:type="paragraph" w:styleId="Titolo1">
    <w:name w:val="heading 1"/>
    <w:basedOn w:val="Normale"/>
    <w:next w:val="Normale"/>
    <w:uiPriority w:val="1"/>
    <w:qFormat/>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next w:val="Normale"/>
    <w:uiPriority w:val="1"/>
    <w:qFormat/>
    <w:pPr>
      <w:ind w:left="100"/>
      <w:outlineLvl w:val="1"/>
    </w:pPr>
    <w:rPr>
      <w:rFonts w:ascii="Minion Pro" w:eastAsia="Minion Pro" w:hAnsi="Minion Pro" w:cs="Minion Pro"/>
      <w:sz w:val="24"/>
      <w:szCs w:val="24"/>
    </w:rPr>
  </w:style>
  <w:style w:type="paragraph" w:styleId="Titolo3">
    <w:name w:val="heading 3"/>
    <w:basedOn w:val="Normale"/>
    <w:next w:val="Normale"/>
    <w:uiPriority w:val="1"/>
    <w:qFormat/>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Pr>
      <w:rFonts w:ascii="Tahoma" w:hAnsi="Tahoma" w:cs="Tahoma"/>
      <w:sz w:val="16"/>
      <w:szCs w:val="16"/>
    </w:rPr>
  </w:style>
  <w:style w:type="paragraph" w:styleId="Corpotesto">
    <w:name w:val="Body Text"/>
    <w:basedOn w:val="Normale"/>
    <w:link w:val="CorpotestoCarattere"/>
    <w:uiPriority w:val="1"/>
    <w:qFormat/>
    <w:rPr>
      <w:sz w:val="18"/>
      <w:szCs w:val="18"/>
    </w:rPr>
  </w:style>
  <w:style w:type="paragraph" w:styleId="Pidipagina">
    <w:name w:val="footer"/>
    <w:basedOn w:val="Normale"/>
    <w:link w:val="PidipaginaCarattere"/>
    <w:uiPriority w:val="99"/>
    <w:unhideWhenUsed/>
    <w:pPr>
      <w:tabs>
        <w:tab w:val="center" w:pos="4513"/>
        <w:tab w:val="right" w:pos="9026"/>
      </w:tabs>
    </w:pPr>
  </w:style>
  <w:style w:type="paragraph" w:styleId="Intestazione">
    <w:name w:val="header"/>
    <w:basedOn w:val="Normale"/>
    <w:link w:val="IntestazioneCarattere"/>
    <w:uiPriority w:val="99"/>
    <w:unhideWhenUsed/>
    <w:pPr>
      <w:tabs>
        <w:tab w:val="center" w:pos="4513"/>
        <w:tab w:val="right" w:pos="9026"/>
      </w:tabs>
    </w:pPr>
  </w:style>
  <w:style w:type="character" w:styleId="Collegamentoipertestuale">
    <w:name w:val="Hyperlink"/>
    <w:basedOn w:val="Carpredefinitoparagrafo"/>
    <w:uiPriority w:val="99"/>
    <w:unhideWhenUsed/>
    <w:rPr>
      <w:color w:val="0000FF" w:themeColor="hyperlink"/>
      <w:u w:val="single"/>
    </w:rPr>
  </w:style>
  <w:style w:type="paragraph" w:styleId="Paragrafoelenco">
    <w:name w:val="List Paragraph"/>
    <w:basedOn w:val="Normale"/>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style>
  <w:style w:type="character" w:customStyle="1" w:styleId="IntestazioneCarattere">
    <w:name w:val="Intestazione Carattere"/>
    <w:basedOn w:val="Carpredefinitoparagrafo"/>
    <w:link w:val="Intestazione"/>
    <w:uiPriority w:val="99"/>
    <w:rPr>
      <w:rFonts w:ascii="Tw Cen MT" w:eastAsia="Tw Cen MT" w:hAnsi="Tw Cen MT" w:cs="Tw Cen MT"/>
    </w:rPr>
  </w:style>
  <w:style w:type="character" w:customStyle="1" w:styleId="PidipaginaCarattere">
    <w:name w:val="Piè di pagina Carattere"/>
    <w:basedOn w:val="Carpredefinitoparagrafo"/>
    <w:link w:val="Pidipagina"/>
    <w:uiPriority w:val="99"/>
    <w:rPr>
      <w:rFonts w:ascii="Tw Cen MT" w:eastAsia="Tw Cen MT" w:hAnsi="Tw Cen MT" w:cs="Tw Cen MT"/>
    </w:rPr>
  </w:style>
  <w:style w:type="character" w:customStyle="1" w:styleId="TestofumettoCarattere">
    <w:name w:val="Testo fumetto Carattere"/>
    <w:basedOn w:val="Carpredefinitoparagrafo"/>
    <w:link w:val="Testofumetto"/>
    <w:uiPriority w:val="99"/>
    <w:semiHidden/>
    <w:rPr>
      <w:rFonts w:ascii="Tahoma" w:eastAsia="Tw Cen MT" w:hAnsi="Tahoma" w:cs="Tahoma"/>
      <w:sz w:val="16"/>
      <w:szCs w:val="16"/>
    </w:rPr>
  </w:style>
  <w:style w:type="character" w:customStyle="1" w:styleId="CorpotestoCarattere">
    <w:name w:val="Corpo testo Carattere"/>
    <w:basedOn w:val="Carpredefinitoparagrafo"/>
    <w:link w:val="Corpotesto"/>
    <w:uiPriority w:val="1"/>
    <w:rPr>
      <w:rFonts w:ascii="Tw Cen MT" w:eastAsia="Tw Cen MT" w:hAnsi="Tw Cen MT" w:cs="Tw Cen MT"/>
      <w:sz w:val="18"/>
      <w:szCs w:val="18"/>
    </w:rPr>
  </w:style>
  <w:style w:type="character" w:customStyle="1" w:styleId="Menzionenonrisolta1">
    <w:name w:val="Menzione non risolta1"/>
    <w:basedOn w:val="Carpredefinitoparagraf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22145">
      <w:bodyDiv w:val="1"/>
      <w:marLeft w:val="0"/>
      <w:marRight w:val="0"/>
      <w:marTop w:val="0"/>
      <w:marBottom w:val="0"/>
      <w:divBdr>
        <w:top w:val="none" w:sz="0" w:space="0" w:color="auto"/>
        <w:left w:val="none" w:sz="0" w:space="0" w:color="auto"/>
        <w:bottom w:val="none" w:sz="0" w:space="0" w:color="auto"/>
        <w:right w:val="none" w:sz="0" w:space="0" w:color="auto"/>
      </w:divBdr>
      <w:divsChild>
        <w:div w:id="2146073404">
          <w:marLeft w:val="0"/>
          <w:marRight w:val="0"/>
          <w:marTop w:val="0"/>
          <w:marBottom w:val="0"/>
          <w:divBdr>
            <w:top w:val="none" w:sz="0" w:space="0" w:color="auto"/>
            <w:left w:val="none" w:sz="0" w:space="0" w:color="auto"/>
            <w:bottom w:val="none" w:sz="0" w:space="0" w:color="auto"/>
            <w:right w:val="none" w:sz="0" w:space="0" w:color="auto"/>
          </w:divBdr>
        </w:div>
        <w:div w:id="1555969400">
          <w:marLeft w:val="0"/>
          <w:marRight w:val="0"/>
          <w:marTop w:val="0"/>
          <w:marBottom w:val="0"/>
          <w:divBdr>
            <w:top w:val="none" w:sz="0" w:space="0" w:color="auto"/>
            <w:left w:val="none" w:sz="0" w:space="0" w:color="auto"/>
            <w:bottom w:val="none" w:sz="0" w:space="0" w:color="auto"/>
            <w:right w:val="none" w:sz="0" w:space="0" w:color="auto"/>
          </w:divBdr>
        </w:div>
        <w:div w:id="17032859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gela.ostuni@unibas.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631</Words>
  <Characters>3600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Angela Ostuni</cp:lastModifiedBy>
  <cp:revision>2</cp:revision>
  <dcterms:created xsi:type="dcterms:W3CDTF">2023-04-10T10:28:00Z</dcterms:created>
  <dcterms:modified xsi:type="dcterms:W3CDTF">2023-04-10T10:28:00Z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1033-11.2.0.11516</vt:lpwstr>
  </property>
  <property fmtid="{D5CDD505-2E9C-101B-9397-08002B2CF9AE}" pid="6" name="ICV">
    <vt:lpwstr>F2A3DD19CC984A618D1D71F02B7557AE</vt:lpwstr>
  </property>
</Properties>
</file>