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697"/>
        <w:tblW w:w="0" w:type="auto"/>
        <w:tblBorders>
          <w:top w:val="nil"/>
          <w:left w:val="nil"/>
          <w:bottom w:val="nil"/>
          <w:right w:val="nil"/>
        </w:tblBorders>
        <w:tblLayout w:type="fixed"/>
        <w:tblLook w:val="0000" w:firstRow="0" w:lastRow="0" w:firstColumn="0" w:lastColumn="0" w:noHBand="0" w:noVBand="0"/>
      </w:tblPr>
      <w:tblGrid>
        <w:gridCol w:w="5642"/>
      </w:tblGrid>
      <w:tr w:rsidR="00DF45FA" w:rsidRPr="00025ADE" w14:paraId="58E7E009" w14:textId="77777777" w:rsidTr="00DF45FA">
        <w:tblPrEx>
          <w:tblCellMar>
            <w:top w:w="0" w:type="dxa"/>
            <w:bottom w:w="0" w:type="dxa"/>
          </w:tblCellMar>
        </w:tblPrEx>
        <w:trPr>
          <w:trHeight w:val="255"/>
        </w:trPr>
        <w:tc>
          <w:tcPr>
            <w:tcW w:w="5642" w:type="dxa"/>
          </w:tcPr>
          <w:p w14:paraId="6A9107DF" w14:textId="77777777" w:rsidR="00DF45FA" w:rsidRPr="00025ADE" w:rsidRDefault="00DF45FA" w:rsidP="00DF45FA">
            <w:pPr>
              <w:pStyle w:val="Default"/>
              <w:rPr>
                <w:rFonts w:asciiTheme="majorBidi" w:hAnsiTheme="majorBidi" w:cstheme="majorBidi"/>
                <w:sz w:val="32"/>
                <w:szCs w:val="32"/>
              </w:rPr>
            </w:pPr>
            <w:r w:rsidRPr="00025ADE">
              <w:rPr>
                <w:rFonts w:asciiTheme="majorBidi" w:hAnsiTheme="majorBidi" w:cstheme="majorBidi"/>
                <w:sz w:val="32"/>
                <w:szCs w:val="32"/>
              </w:rPr>
              <w:t xml:space="preserve">Anosmia as a screening tool for COVID-19 infection: A prospective cohort study </w:t>
            </w:r>
          </w:p>
        </w:tc>
      </w:tr>
    </w:tbl>
    <w:p w14:paraId="3B878B97" w14:textId="77777777" w:rsidR="00DF45FA" w:rsidRPr="004D6C8A" w:rsidRDefault="00DF45FA" w:rsidP="00DF45FA">
      <w:pPr>
        <w:pStyle w:val="Default"/>
        <w:rPr>
          <w:rFonts w:asciiTheme="majorBidi" w:hAnsiTheme="majorBidi" w:cstheme="majorBidi"/>
        </w:rPr>
      </w:pPr>
    </w:p>
    <w:p w14:paraId="0DB34398" w14:textId="77777777" w:rsidR="00DF45FA" w:rsidRPr="00C735DC" w:rsidRDefault="00DF45FA" w:rsidP="00DF45FA">
      <w:pPr>
        <w:pStyle w:val="BodyText"/>
        <w:spacing w:before="73" w:line="198" w:lineRule="exact"/>
        <w:ind w:left="100" w:right="5987"/>
        <w:rPr>
          <w:rFonts w:asciiTheme="majorBidi" w:hAnsiTheme="majorBidi" w:cstheme="majorBidi"/>
          <w:sz w:val="20"/>
          <w:szCs w:val="20"/>
        </w:rPr>
      </w:pPr>
      <w:r w:rsidRPr="00C735DC">
        <w:rPr>
          <w:rFonts w:asciiTheme="majorBidi" w:hAnsiTheme="majorBidi" w:cstheme="majorBidi"/>
          <w:sz w:val="20"/>
          <w:szCs w:val="20"/>
        </w:rPr>
        <w:t>Dr Esra Alhamadani, MD, Dubai Health Authority, UAE</w:t>
      </w:r>
    </w:p>
    <w:p w14:paraId="3134DD89" w14:textId="77777777" w:rsidR="00DF45FA" w:rsidRPr="00C735DC" w:rsidRDefault="00DF45FA" w:rsidP="00DF45FA">
      <w:pPr>
        <w:pStyle w:val="BodyText"/>
        <w:spacing w:before="73" w:line="198" w:lineRule="exact"/>
        <w:ind w:left="100" w:right="5987"/>
        <w:rPr>
          <w:rFonts w:asciiTheme="majorBidi" w:hAnsiTheme="majorBidi" w:cstheme="majorBidi"/>
          <w:sz w:val="20"/>
          <w:szCs w:val="20"/>
        </w:rPr>
      </w:pPr>
      <w:r w:rsidRPr="00C735DC">
        <w:rPr>
          <w:rFonts w:asciiTheme="majorBidi" w:hAnsiTheme="majorBidi" w:cstheme="majorBidi"/>
          <w:sz w:val="20"/>
          <w:szCs w:val="20"/>
        </w:rPr>
        <w:t>Dr Sania Zia, MD, Dubai Health Authority, UAE</w:t>
      </w:r>
    </w:p>
    <w:p w14:paraId="542396E7" w14:textId="77777777" w:rsidR="00DF45FA" w:rsidRPr="00C735DC" w:rsidRDefault="00DF45FA" w:rsidP="00DF45FA">
      <w:pPr>
        <w:pStyle w:val="BodyText"/>
        <w:spacing w:before="73" w:line="198" w:lineRule="exact"/>
        <w:ind w:left="100" w:right="5987"/>
        <w:rPr>
          <w:rFonts w:asciiTheme="majorBidi" w:hAnsiTheme="majorBidi" w:cstheme="majorBidi"/>
          <w:sz w:val="20"/>
          <w:szCs w:val="20"/>
        </w:rPr>
      </w:pPr>
      <w:r w:rsidRPr="00C735DC">
        <w:rPr>
          <w:rFonts w:asciiTheme="majorBidi" w:hAnsiTheme="majorBidi" w:cstheme="majorBidi"/>
          <w:sz w:val="20"/>
          <w:szCs w:val="20"/>
        </w:rPr>
        <w:t>Dr Ali AlRahma, MD, Dubai Health Authority, UAE</w:t>
      </w:r>
    </w:p>
    <w:p w14:paraId="7460F65B" w14:textId="77777777" w:rsidR="00DF45FA" w:rsidRPr="00C735DC" w:rsidRDefault="00DF45FA" w:rsidP="00DF45FA">
      <w:pPr>
        <w:pStyle w:val="BodyText"/>
        <w:spacing w:before="73" w:line="198" w:lineRule="exact"/>
        <w:ind w:left="100" w:right="5987"/>
        <w:rPr>
          <w:rFonts w:asciiTheme="majorBidi" w:hAnsiTheme="majorBidi" w:cstheme="majorBidi"/>
          <w:sz w:val="20"/>
          <w:szCs w:val="20"/>
        </w:rPr>
        <w:sectPr w:rsidR="00DF45FA" w:rsidRPr="00C735DC" w:rsidSect="00DF45FA">
          <w:headerReference w:type="default" r:id="rId4"/>
          <w:footerReference w:type="default" r:id="rId5"/>
          <w:pgSz w:w="11910" w:h="16840"/>
          <w:pgMar w:top="1740" w:right="600" w:bottom="840" w:left="620" w:header="541" w:footer="642" w:gutter="0"/>
          <w:cols w:space="720"/>
        </w:sectPr>
      </w:pPr>
      <w:r w:rsidRPr="00C735DC">
        <w:rPr>
          <w:rFonts w:asciiTheme="majorBidi" w:hAnsiTheme="majorBidi" w:cstheme="majorBidi"/>
          <w:sz w:val="20"/>
          <w:szCs w:val="20"/>
        </w:rPr>
        <w:t>Dr Firas AlNajjar, MD, Dubai Health Authority, UAE</w:t>
      </w:r>
    </w:p>
    <w:p w14:paraId="46D7E41D" w14:textId="77777777" w:rsidR="00DF45FA" w:rsidRPr="004D6C8A" w:rsidRDefault="00DF45FA" w:rsidP="00DF45FA">
      <w:pPr>
        <w:pStyle w:val="Heading3"/>
        <w:spacing w:before="147"/>
        <w:ind w:left="0"/>
        <w:jc w:val="both"/>
        <w:rPr>
          <w:rFonts w:asciiTheme="majorBidi" w:hAnsiTheme="majorBidi" w:cstheme="majorBidi"/>
          <w:sz w:val="24"/>
          <w:szCs w:val="24"/>
        </w:rPr>
      </w:pPr>
      <w:r w:rsidRPr="004D6C8A">
        <w:rPr>
          <w:rFonts w:asciiTheme="majorBidi" w:hAnsiTheme="majorBidi" w:cstheme="majorBidi"/>
          <w:color w:val="BF5A14"/>
          <w:sz w:val="24"/>
          <w:szCs w:val="24"/>
        </w:rPr>
        <w:t xml:space="preserve">Abstract </w:t>
      </w:r>
    </w:p>
    <w:p w14:paraId="295A096C" w14:textId="77777777" w:rsidR="00DF45FA" w:rsidRDefault="00DF45FA" w:rsidP="00DF45FA">
      <w:pPr>
        <w:pStyle w:val="Default"/>
        <w:jc w:val="both"/>
        <w:rPr>
          <w:rFonts w:asciiTheme="majorBidi" w:hAnsiTheme="majorBidi" w:cstheme="majorBidi"/>
        </w:rPr>
      </w:pPr>
      <w:r w:rsidRPr="004D6C8A">
        <w:rPr>
          <w:rFonts w:asciiTheme="majorBidi" w:hAnsiTheme="majorBidi" w:cstheme="majorBidi"/>
        </w:rPr>
        <w:t xml:space="preserve">Statement of the problem: Several studies promoted anosmia as a possible isolated symptom for COVID-19 as a measure of encouraging individuals with a sudden loss of smell but few or no symptoms of viral infection to self-isolate. No studies used feasible methods of smell testing that the public would use to address the accuracy of these claims. The studies that assess anosmia as a screening tool are predominantly cross-sectional or retrospective in design. The purpose of this study is to prospectively measure the diagnostic value of anosmia at presentation and subsequent COVID-19 diagnosis by reverse-transcriptase polymerase chain reaction (RT-PCR) in asymptomatic or mildly symptomatic patients with upper respiratory tract infection (URTI). Methods: This is a single-center study conducted between April and June 2020.  The sense of smell was tested in vitally stable suspected COVID-19 patients with no/mild URTI symptoms prior to nasopharyngeal swabbing for RT-PCR.  Patients were instructed to close their eyes. Each nostril was tested separately while the other was blocked with the patient’s index finger. Patients inhaled from 2 concealed vials (coffee, strawberry essence) consecutively, kept within 30 cm of the nostril for 60 seconds. Patients who could not identify both odors with both nostrils were recorded as “anosmia”. Results: Out of 346 eligible subjects, 43 had anosmia of which 26 (60%) tested COVID-19 positive. Chi square test showed a P-value &lt; 0.001. The test showed a sensitivity of 30% (95% CI 21%,41%) and specificity 94% (95% CI 90%,96%). Logistic regression revealed an OR of 5.9(95% CI 3.0,12) P-value &lt; 0.001. Conclusion: Given the low sensitivity (30%) of this method in detecting COVID-19 </w:t>
      </w:r>
    </w:p>
    <w:p w14:paraId="6A2B6D60" w14:textId="77777777" w:rsidR="00DF45FA" w:rsidRDefault="00DF45FA" w:rsidP="00DF45FA">
      <w:pPr>
        <w:pStyle w:val="Default"/>
        <w:jc w:val="both"/>
        <w:rPr>
          <w:rFonts w:asciiTheme="majorBidi" w:hAnsiTheme="majorBidi" w:cstheme="majorBidi"/>
        </w:rPr>
      </w:pPr>
    </w:p>
    <w:p w14:paraId="63570B78" w14:textId="1F0FEDB2" w:rsidR="00DF45FA" w:rsidRPr="004D6C8A" w:rsidRDefault="00DF45FA" w:rsidP="00DF45FA">
      <w:pPr>
        <w:pStyle w:val="Default"/>
        <w:jc w:val="both"/>
        <w:rPr>
          <w:rFonts w:asciiTheme="majorBidi" w:hAnsiTheme="majorBidi" w:cstheme="majorBidi"/>
        </w:rPr>
      </w:pPr>
      <w:r w:rsidRPr="004D6C8A">
        <w:rPr>
          <w:rFonts w:asciiTheme="majorBidi" w:hAnsiTheme="majorBidi" w:cstheme="majorBidi"/>
        </w:rPr>
        <w:t xml:space="preserve">infection, we conclude that this method is not a useful screening tool for COVID-19 infection. The moderate negative predictive value (80%) is non-generalizable. </w:t>
      </w:r>
    </w:p>
    <w:p w14:paraId="1D5FD9C1" w14:textId="77777777" w:rsidR="00DF45FA" w:rsidRPr="004D6C8A" w:rsidRDefault="00DF45FA" w:rsidP="00DF45FA">
      <w:pPr>
        <w:pStyle w:val="Heading3"/>
        <w:spacing w:before="74"/>
        <w:ind w:left="0"/>
        <w:rPr>
          <w:rFonts w:asciiTheme="majorBidi" w:hAnsiTheme="majorBidi" w:cstheme="majorBidi"/>
          <w:sz w:val="24"/>
          <w:szCs w:val="24"/>
        </w:rPr>
      </w:pPr>
    </w:p>
    <w:p w14:paraId="01318ED1" w14:textId="77777777" w:rsidR="00DF45FA" w:rsidRPr="00C735DC" w:rsidRDefault="00DF45FA" w:rsidP="00DF45FA">
      <w:pPr>
        <w:pStyle w:val="BodyText"/>
        <w:spacing w:before="2"/>
        <w:rPr>
          <w:rFonts w:asciiTheme="majorBidi" w:hAnsiTheme="majorBidi" w:cstheme="majorBidi"/>
          <w:noProof/>
          <w:sz w:val="24"/>
          <w:szCs w:val="24"/>
        </w:rPr>
      </w:pPr>
      <w:r w:rsidRPr="004D6C8A">
        <w:rPr>
          <w:rFonts w:asciiTheme="majorBidi" w:hAnsiTheme="majorBidi" w:cstheme="majorBidi"/>
          <w:noProof/>
          <w:sz w:val="24"/>
          <w:szCs w:val="24"/>
        </w:rPr>
        <w:drawing>
          <wp:inline distT="0" distB="0" distL="0" distR="0" wp14:anchorId="6583DEF8" wp14:editId="0F0DC283">
            <wp:extent cx="3418449" cy="1340485"/>
            <wp:effectExtent l="0" t="0" r="0" b="0"/>
            <wp:docPr id="2" name="Picture 2" descr="Graphical user interface, 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table&#10;&#10;Description automatically generated"/>
                    <pic:cNvPicPr/>
                  </pic:nvPicPr>
                  <pic:blipFill rotWithShape="1">
                    <a:blip r:embed="rId6" cstate="print">
                      <a:extLst>
                        <a:ext uri="{28A0092B-C50C-407E-A947-70E740481C1C}">
                          <a14:useLocalDpi xmlns:a14="http://schemas.microsoft.com/office/drawing/2010/main" val="0"/>
                        </a:ext>
                      </a:extLst>
                    </a:blip>
                    <a:srcRect l="10885" t="39453" r="32955" b="28272"/>
                    <a:stretch/>
                  </pic:blipFill>
                  <pic:spPr bwMode="auto">
                    <a:xfrm>
                      <a:off x="0" y="0"/>
                      <a:ext cx="3420380" cy="1341242"/>
                    </a:xfrm>
                    <a:prstGeom prst="rect">
                      <a:avLst/>
                    </a:prstGeom>
                    <a:ln>
                      <a:noFill/>
                    </a:ln>
                    <a:extLst>
                      <a:ext uri="{53640926-AAD7-44D8-BBD7-CCE9431645EC}">
                        <a14:shadowObscured xmlns:a14="http://schemas.microsoft.com/office/drawing/2010/main"/>
                      </a:ext>
                    </a:extLst>
                  </pic:spPr>
                </pic:pic>
              </a:graphicData>
            </a:graphic>
          </wp:inline>
        </w:drawing>
      </w:r>
    </w:p>
    <w:p w14:paraId="6540A943" w14:textId="77777777" w:rsidR="00DF45FA" w:rsidRPr="004D6C8A" w:rsidRDefault="00DF45FA" w:rsidP="00DF45FA">
      <w:pPr>
        <w:spacing w:line="204" w:lineRule="exact"/>
        <w:rPr>
          <w:rFonts w:asciiTheme="majorBidi" w:hAnsiTheme="majorBidi" w:cstheme="majorBidi"/>
          <w:b/>
          <w:color w:val="BF5A14"/>
          <w:sz w:val="24"/>
          <w:szCs w:val="24"/>
        </w:rPr>
      </w:pPr>
      <w:r w:rsidRPr="004D6C8A">
        <w:rPr>
          <w:rFonts w:asciiTheme="majorBidi" w:hAnsiTheme="majorBidi" w:cstheme="majorBidi"/>
          <w:b/>
          <w:color w:val="BF5A14"/>
          <w:sz w:val="24"/>
          <w:szCs w:val="24"/>
        </w:rPr>
        <w:br/>
        <w:t xml:space="preserve">Recent Publications </w:t>
      </w:r>
    </w:p>
    <w:p w14:paraId="7CAA582A" w14:textId="77777777" w:rsidR="00DF45FA" w:rsidRPr="004D6C8A" w:rsidRDefault="00DF45FA" w:rsidP="00DF45FA">
      <w:pPr>
        <w:spacing w:line="204" w:lineRule="exact"/>
        <w:rPr>
          <w:rFonts w:asciiTheme="majorBidi" w:hAnsiTheme="majorBidi" w:cstheme="majorBidi"/>
          <w:b/>
          <w:color w:val="BF5A14"/>
          <w:sz w:val="24"/>
          <w:szCs w:val="24"/>
        </w:rPr>
      </w:pPr>
    </w:p>
    <w:p w14:paraId="2E052CFC"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1. Gautier JF, Ravussin Y. A New Symptom of COVID-19: Loss of Taste and Smell. Obesity.</w:t>
      </w:r>
    </w:p>
    <w:p w14:paraId="179B7E6A"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2020;28(5):848.</w:t>
      </w:r>
    </w:p>
    <w:p w14:paraId="434D6B32"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2. Hjelmesæth J, Skaare D. Loss of smell or taste as the only symptom of COVID-19.</w:t>
      </w:r>
    </w:p>
    <w:p w14:paraId="0C1629F8"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Tidsskr Nor Laegeforen. 2020;140(7).</w:t>
      </w:r>
    </w:p>
    <w:p w14:paraId="4954C98A"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3. Tong JY, Wong A, Zhu D, Fastenberg JH, Tham T. The Prevalence of Olfactory and</w:t>
      </w:r>
    </w:p>
    <w:p w14:paraId="54C480AF"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Gustatory Dysfunction in COVID-19 Patients: A Systematic Review and Meta-analysis.</w:t>
      </w:r>
    </w:p>
    <w:p w14:paraId="11899357" w14:textId="77777777" w:rsidR="00DF45FA" w:rsidRDefault="00DF45FA" w:rsidP="00DF45FA">
      <w:pPr>
        <w:spacing w:line="200" w:lineRule="exact"/>
        <w:jc w:val="both"/>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Otolaryngol - Head Neck Surg (United States). 2020;</w:t>
      </w:r>
    </w:p>
    <w:p w14:paraId="65E63B4F"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4. Moein ST, ED SMR, Mansourafshar B, Khorram-Tousi A, Tabarsi P, Doty RL.</w:t>
      </w:r>
    </w:p>
    <w:p w14:paraId="4C7E2336"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Smell dysfunction: a biomarker for COVID-19. Int Forum Allergy Rhinol. 2020;</w:t>
      </w:r>
    </w:p>
    <w:p w14:paraId="1E199C78" w14:textId="77777777" w:rsidR="00DF45FA" w:rsidRPr="004D6C8A" w:rsidRDefault="00DF45FA" w:rsidP="00DF45FA">
      <w:pPr>
        <w:widowControl/>
        <w:autoSpaceDE w:val="0"/>
        <w:autoSpaceDN w:val="0"/>
        <w:adjustRightInd w:val="0"/>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5. Vaira LA, Salzano G, Fois AG, Piombino P, De Riu G. Potential pathogenesis of ageusia</w:t>
      </w:r>
    </w:p>
    <w:p w14:paraId="579476DE" w14:textId="77777777" w:rsidR="00DF45FA" w:rsidRPr="004D6C8A" w:rsidRDefault="00DF45FA" w:rsidP="00DF45FA">
      <w:pPr>
        <w:pStyle w:val="BodyText"/>
        <w:rPr>
          <w:rFonts w:asciiTheme="majorBidi" w:eastAsiaTheme="minorHAnsi" w:hAnsiTheme="majorBidi" w:cstheme="majorBidi"/>
          <w:sz w:val="24"/>
          <w:szCs w:val="24"/>
        </w:rPr>
      </w:pPr>
      <w:r w:rsidRPr="004D6C8A">
        <w:rPr>
          <w:rFonts w:asciiTheme="majorBidi" w:eastAsiaTheme="minorHAnsi" w:hAnsiTheme="majorBidi" w:cstheme="majorBidi"/>
          <w:sz w:val="24"/>
          <w:szCs w:val="24"/>
        </w:rPr>
        <w:t>and anosmia in COVID-19 patients. International Forum of Allergy and Rhinology. 2020.</w:t>
      </w:r>
    </w:p>
    <w:p w14:paraId="75A1033A" w14:textId="77777777" w:rsidR="00DF45FA" w:rsidRPr="004D6C8A" w:rsidRDefault="00DF45FA" w:rsidP="00DF45FA">
      <w:pPr>
        <w:spacing w:line="200" w:lineRule="exact"/>
        <w:jc w:val="both"/>
        <w:rPr>
          <w:rFonts w:asciiTheme="majorBidi" w:eastAsiaTheme="minorHAnsi" w:hAnsiTheme="majorBidi" w:cstheme="majorBidi"/>
          <w:sz w:val="24"/>
          <w:szCs w:val="24"/>
        </w:rPr>
      </w:pPr>
    </w:p>
    <w:p w14:paraId="3D05CD71" w14:textId="77777777" w:rsidR="00DF45FA" w:rsidRPr="004D6C8A" w:rsidRDefault="00DF45FA" w:rsidP="00DF45FA">
      <w:pPr>
        <w:spacing w:line="200" w:lineRule="exact"/>
        <w:jc w:val="both"/>
        <w:rPr>
          <w:rFonts w:asciiTheme="majorBidi" w:hAnsiTheme="majorBidi" w:cstheme="majorBidi"/>
          <w:sz w:val="24"/>
          <w:szCs w:val="24"/>
        </w:rPr>
        <w:sectPr w:rsidR="00DF45FA" w:rsidRPr="004D6C8A">
          <w:type w:val="continuous"/>
          <w:pgSz w:w="11910" w:h="16840"/>
          <w:pgMar w:top="1740" w:right="600" w:bottom="840" w:left="620" w:header="720" w:footer="720" w:gutter="0"/>
          <w:cols w:num="2" w:space="720" w:equalWidth="0">
            <w:col w:w="5214" w:space="138"/>
            <w:col w:w="5338"/>
          </w:cols>
        </w:sectPr>
      </w:pPr>
      <w:r w:rsidRPr="004D6C8A">
        <w:rPr>
          <w:rFonts w:asciiTheme="majorBidi" w:hAnsiTheme="majorBidi" w:cstheme="majorBidi"/>
          <w:sz w:val="24"/>
          <w:szCs w:val="24"/>
        </w:rPr>
        <w:t xml:space="preserve">   </w:t>
      </w:r>
    </w:p>
    <w:p w14:paraId="22A74E2E" w14:textId="77777777" w:rsidR="00DF45FA" w:rsidRPr="004D6C8A" w:rsidRDefault="00DF45FA" w:rsidP="00DF45FA">
      <w:pPr>
        <w:pStyle w:val="BodyText"/>
        <w:rPr>
          <w:rFonts w:asciiTheme="majorBidi" w:hAnsiTheme="majorBidi" w:cstheme="majorBidi"/>
          <w:b/>
          <w:sz w:val="24"/>
          <w:szCs w:val="24"/>
        </w:rPr>
      </w:pPr>
    </w:p>
    <w:p w14:paraId="076F044B" w14:textId="77777777" w:rsidR="00DF45FA" w:rsidRPr="004D6C8A" w:rsidRDefault="00DF45FA" w:rsidP="00DF45FA">
      <w:pPr>
        <w:pStyle w:val="BodyText"/>
        <w:spacing w:line="40" w:lineRule="exact"/>
        <w:rPr>
          <w:rFonts w:asciiTheme="majorBidi" w:hAnsiTheme="majorBidi" w:cstheme="majorBidi"/>
          <w:sz w:val="24"/>
          <w:szCs w:val="24"/>
        </w:rPr>
      </w:pPr>
      <w:r w:rsidRPr="004D6C8A">
        <w:rPr>
          <w:rFonts w:asciiTheme="majorBidi" w:hAnsiTheme="majorBidi" w:cstheme="majorBidi"/>
          <w:noProof/>
          <w:sz w:val="24"/>
          <w:szCs w:val="24"/>
          <w:lang w:val="en-IN" w:eastAsia="en-IN"/>
        </w:rPr>
        <mc:AlternateContent>
          <mc:Choice Requires="wpg">
            <w:drawing>
              <wp:inline distT="0" distB="0" distL="0" distR="0" wp14:anchorId="1DEBDD14" wp14:editId="7C8D18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D02E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0472F5" w14:textId="77777777" w:rsidR="00DF45FA" w:rsidRPr="004D6C8A" w:rsidRDefault="00DF45FA" w:rsidP="00DF45FA">
      <w:pPr>
        <w:spacing w:before="92"/>
        <w:ind w:right="4234"/>
        <w:rPr>
          <w:rFonts w:asciiTheme="majorBidi" w:hAnsiTheme="majorBidi" w:cstheme="majorBidi"/>
          <w:color w:val="BF5A14"/>
          <w:sz w:val="24"/>
          <w:szCs w:val="24"/>
        </w:rPr>
      </w:pPr>
      <w:r w:rsidRPr="004D6C8A">
        <w:rPr>
          <w:rFonts w:asciiTheme="majorBidi" w:hAnsiTheme="majorBidi" w:cstheme="majorBidi"/>
          <w:color w:val="BF5A14"/>
          <w:sz w:val="24"/>
          <w:szCs w:val="24"/>
        </w:rPr>
        <w:t xml:space="preserve">Biography </w:t>
      </w:r>
    </w:p>
    <w:p w14:paraId="4ABB064E" w14:textId="77777777" w:rsidR="00DF45FA" w:rsidRPr="004D6C8A" w:rsidRDefault="00DF45FA" w:rsidP="00DF45FA">
      <w:pPr>
        <w:pStyle w:val="BodyText"/>
        <w:spacing w:before="3"/>
        <w:rPr>
          <w:rFonts w:asciiTheme="majorBidi" w:hAnsiTheme="majorBidi" w:cstheme="majorBidi"/>
          <w:sz w:val="24"/>
          <w:szCs w:val="24"/>
        </w:rPr>
      </w:pPr>
      <w:r w:rsidRPr="004D6C8A">
        <w:rPr>
          <w:rFonts w:asciiTheme="majorBidi" w:hAnsiTheme="majorBidi" w:cstheme="majorBidi"/>
          <w:sz w:val="24"/>
          <w:szCs w:val="24"/>
        </w:rPr>
        <w:t>Dr Esra Alhamadani currently works as an emergency resident-physician at Rashid hospital, Dubai Health Authority since 2018. She served as a front-liner during the Covid-19 pandemic. In 2019, Dr Esra completed part of her clinical research training with Harvard Medical School. During her 6 months training, she was exposed to research methodology and biostatistics. Esra holds an MB BCh BAO from the Royal College of Surgeons Ireland.</w:t>
      </w:r>
    </w:p>
    <w:p w14:paraId="551241BD" w14:textId="77777777" w:rsidR="00DF45FA" w:rsidRPr="004D6C8A" w:rsidRDefault="00DF45FA" w:rsidP="00DF45FA">
      <w:pPr>
        <w:spacing w:before="62"/>
        <w:ind w:right="4235"/>
        <w:rPr>
          <w:rFonts w:asciiTheme="majorBidi" w:hAnsiTheme="majorBidi" w:cstheme="majorBidi"/>
          <w:sz w:val="24"/>
          <w:szCs w:val="24"/>
        </w:rPr>
      </w:pPr>
      <w:r w:rsidRPr="004D6C8A">
        <w:rPr>
          <w:rFonts w:asciiTheme="majorBidi" w:hAnsiTheme="majorBidi" w:cstheme="majorBidi"/>
          <w:sz w:val="24"/>
          <w:szCs w:val="24"/>
        </w:rPr>
        <w:t xml:space="preserve">Email: </w:t>
      </w:r>
      <w:hyperlink r:id="rId7" w:history="1">
        <w:r w:rsidRPr="004D6C8A">
          <w:rPr>
            <w:rStyle w:val="Hyperlink"/>
            <w:rFonts w:asciiTheme="majorBidi" w:hAnsiTheme="majorBidi" w:cstheme="majorBidi"/>
            <w:sz w:val="24"/>
            <w:szCs w:val="24"/>
          </w:rPr>
          <w:t>esraalhamadani08@gmail.com</w:t>
        </w:r>
      </w:hyperlink>
    </w:p>
    <w:p w14:paraId="3870D0D8" w14:textId="77777777" w:rsidR="00DF45FA" w:rsidRPr="004D6C8A" w:rsidRDefault="00DF45FA" w:rsidP="00DF45FA">
      <w:pPr>
        <w:spacing w:before="62"/>
        <w:ind w:left="4217" w:right="4235"/>
        <w:jc w:val="center"/>
        <w:rPr>
          <w:rFonts w:asciiTheme="majorBidi" w:hAnsiTheme="majorBidi" w:cstheme="majorBidi"/>
          <w:sz w:val="24"/>
          <w:szCs w:val="24"/>
        </w:rPr>
      </w:pPr>
    </w:p>
    <w:p w14:paraId="5B08B87F" w14:textId="77777777" w:rsidR="00DF45FA" w:rsidRPr="004D6C8A" w:rsidRDefault="00DF45FA" w:rsidP="00DF45FA">
      <w:pPr>
        <w:pStyle w:val="BodyText"/>
        <w:spacing w:before="2"/>
        <w:rPr>
          <w:rFonts w:asciiTheme="majorBidi" w:hAnsiTheme="majorBidi" w:cstheme="majorBidi"/>
          <w:sz w:val="24"/>
          <w:szCs w:val="24"/>
        </w:rPr>
        <w:sectPr w:rsidR="00DF45FA" w:rsidRPr="004D6C8A">
          <w:type w:val="continuous"/>
          <w:pgSz w:w="11910" w:h="16840"/>
          <w:pgMar w:top="1740" w:right="600" w:bottom="840" w:left="620" w:header="720" w:footer="720" w:gutter="0"/>
          <w:cols w:space="720"/>
        </w:sectPr>
      </w:pPr>
      <w:r w:rsidRPr="004D6C8A">
        <w:rPr>
          <w:rFonts w:asciiTheme="majorBidi" w:hAnsiTheme="majorBidi" w:cstheme="majorBidi"/>
          <w:noProof/>
          <w:sz w:val="24"/>
          <w:szCs w:val="24"/>
          <w:lang w:val="en-IN" w:eastAsia="en-IN"/>
        </w:rPr>
        <mc:AlternateContent>
          <mc:Choice Requires="wps">
            <w:drawing>
              <wp:anchor distT="0" distB="0" distL="0" distR="0" simplePos="0" relativeHeight="251659264" behindDoc="0" locked="0" layoutInCell="1" allowOverlap="1" wp14:anchorId="4BF807C6" wp14:editId="054F24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4781D"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89ACBA8" w14:textId="77777777" w:rsidR="00DF45FA" w:rsidRPr="004D6C8A" w:rsidRDefault="00DF45FA" w:rsidP="00DF45FA">
      <w:pPr>
        <w:pStyle w:val="BodyText"/>
        <w:spacing w:before="3"/>
        <w:rPr>
          <w:rFonts w:asciiTheme="majorBidi" w:hAnsiTheme="majorBidi" w:cstheme="majorBidi"/>
          <w:sz w:val="24"/>
          <w:szCs w:val="24"/>
        </w:rPr>
      </w:pPr>
    </w:p>
    <w:p w14:paraId="07489994" w14:textId="77777777" w:rsidR="00DF45FA" w:rsidRDefault="00DF45FA"/>
    <w:sectPr w:rsidR="00DF45FA"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altName w:val="Times New Roman PSMT"/>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3"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F4E9" w14:textId="77777777" w:rsidR="00AE3E37" w:rsidRDefault="00DF45F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4AFD584" wp14:editId="789F0B0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58494" w14:textId="77777777" w:rsidR="00AE3E37" w:rsidRPr="005B3A56" w:rsidRDefault="00DF45F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FC0340" w14:textId="77777777" w:rsidR="00AE3E37" w:rsidRPr="005B3A56" w:rsidRDefault="00DF45F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FD584"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48458494" w14:textId="77777777" w:rsidR="00AE3E37" w:rsidRPr="005B3A56" w:rsidRDefault="00DF45F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FC0340" w14:textId="77777777" w:rsidR="00AE3E37" w:rsidRPr="005B3A56" w:rsidRDefault="00DF45F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8772932" wp14:editId="5E741D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1B96C" w14:textId="77777777" w:rsidR="00AE3E37" w:rsidRPr="005B3A56" w:rsidRDefault="00DF45F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D33250" w14:textId="77777777" w:rsidR="00AE3E37" w:rsidRPr="005B3A56" w:rsidRDefault="00DF45F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72932"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921B96C" w14:textId="77777777" w:rsidR="00AE3E37" w:rsidRPr="005B3A56" w:rsidRDefault="00DF45F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D33250" w14:textId="77777777" w:rsidR="00AE3E37" w:rsidRPr="005B3A56" w:rsidRDefault="00DF45F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279257DF" wp14:editId="3441CE0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25FF5" w14:textId="77777777" w:rsidR="00AE3E37" w:rsidRPr="005B3A56" w:rsidRDefault="00DF45F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A81A23" w14:textId="77777777" w:rsidR="00AE3E37" w:rsidRPr="005B3A56" w:rsidRDefault="00DF45F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257DF"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3825FF5" w14:textId="77777777" w:rsidR="00AE3E37" w:rsidRPr="005B3A56" w:rsidRDefault="00DF45F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A81A23" w14:textId="77777777" w:rsidR="00AE3E37" w:rsidRPr="005B3A56" w:rsidRDefault="00DF45F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5848" w14:textId="77777777" w:rsidR="00AE3E37" w:rsidRDefault="00DF45FA">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5FA"/>
    <w:rsid w:val="00DF45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40391"/>
  <w15:chartTrackingRefBased/>
  <w15:docId w15:val="{1CB56F4B-D534-4B45-8E82-52A1D557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F45FA"/>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DF45F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DF45FA"/>
    <w:rPr>
      <w:rFonts w:ascii="Arial" w:eastAsia="Arial" w:hAnsi="Arial" w:cs="Arial"/>
      <w:b/>
      <w:bCs/>
      <w:sz w:val="20"/>
      <w:szCs w:val="20"/>
    </w:rPr>
  </w:style>
  <w:style w:type="paragraph" w:styleId="BodyText">
    <w:name w:val="Body Text"/>
    <w:basedOn w:val="Normal"/>
    <w:link w:val="BodyTextChar"/>
    <w:uiPriority w:val="1"/>
    <w:qFormat/>
    <w:rsid w:val="00DF45FA"/>
    <w:rPr>
      <w:sz w:val="18"/>
      <w:szCs w:val="18"/>
    </w:rPr>
  </w:style>
  <w:style w:type="character" w:customStyle="1" w:styleId="BodyTextChar">
    <w:name w:val="Body Text Char"/>
    <w:basedOn w:val="DefaultParagraphFont"/>
    <w:link w:val="BodyText"/>
    <w:uiPriority w:val="1"/>
    <w:rsid w:val="00DF45FA"/>
    <w:rPr>
      <w:rFonts w:ascii="Tw Cen MT" w:eastAsia="Tw Cen MT" w:hAnsi="Tw Cen MT" w:cs="Tw Cen MT"/>
      <w:sz w:val="18"/>
      <w:szCs w:val="18"/>
    </w:rPr>
  </w:style>
  <w:style w:type="character" w:styleId="Hyperlink">
    <w:name w:val="Hyperlink"/>
    <w:basedOn w:val="DefaultParagraphFont"/>
    <w:uiPriority w:val="99"/>
    <w:unhideWhenUsed/>
    <w:rsid w:val="00DF45FA"/>
    <w:rPr>
      <w:color w:val="0563C1" w:themeColor="hyperlink"/>
      <w:u w:val="single"/>
    </w:rPr>
  </w:style>
  <w:style w:type="paragraph" w:customStyle="1" w:styleId="Default">
    <w:name w:val="Default"/>
    <w:rsid w:val="00DF45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sraalhamadani08@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Alhamadani</dc:creator>
  <cp:keywords/>
  <dc:description/>
  <cp:lastModifiedBy>Esra Alhamadani</cp:lastModifiedBy>
  <cp:revision>1</cp:revision>
  <dcterms:created xsi:type="dcterms:W3CDTF">2021-09-16T18:14:00Z</dcterms:created>
  <dcterms:modified xsi:type="dcterms:W3CDTF">2021-09-16T18:15:00Z</dcterms:modified>
</cp:coreProperties>
</file>