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F96" w:rsidRPr="00AD2C1C" w:rsidRDefault="006E7F96" w:rsidP="006E7F96">
      <w:pPr>
        <w:spacing w:line="480" w:lineRule="auto"/>
        <w:jc w:val="both"/>
        <w:rPr>
          <w:lang w:val="en-US"/>
        </w:rPr>
      </w:pPr>
      <w:bookmarkStart w:id="0" w:name="_gjdgxs"/>
      <w:bookmarkEnd w:id="0"/>
      <w:r>
        <w:rPr>
          <w:rFonts w:ascii="Calibri" w:eastAsia="Arial" w:hAnsi="Calibri" w:cs="Calibri"/>
          <w:b/>
          <w:bCs/>
          <w:lang w:val="en-US"/>
        </w:rPr>
        <w:t>Title: The phylogeography</w:t>
      </w:r>
      <w:r>
        <w:rPr>
          <w:rFonts w:ascii="Calibri" w:eastAsia="Arial" w:hAnsi="Calibri" w:cs="Calibri"/>
          <w:b/>
          <w:lang w:val="en-US"/>
        </w:rPr>
        <w:t xml:space="preserve"> and epidemiological history of Toscana virus in Tunisia and the Mediterranean basin region.</w:t>
      </w:r>
    </w:p>
    <w:p w:rsidR="006E7F96" w:rsidRPr="00AD2C1C" w:rsidRDefault="006E7F96" w:rsidP="006E7F96">
      <w:pPr>
        <w:spacing w:line="480" w:lineRule="auto"/>
        <w:jc w:val="both"/>
        <w:rPr>
          <w:lang w:val="en-US"/>
        </w:rPr>
      </w:pPr>
      <w:r>
        <w:rPr>
          <w:rFonts w:ascii="Calibri" w:eastAsia="Arial" w:hAnsi="Calibri" w:cs="Calibri"/>
          <w:b/>
          <w:bCs/>
          <w:lang w:val="en-US"/>
        </w:rPr>
        <w:t>Authors:</w:t>
      </w:r>
      <w:r>
        <w:rPr>
          <w:rFonts w:ascii="Calibri" w:eastAsia="Arial" w:hAnsi="Calibri" w:cs="Calibri"/>
          <w:lang w:val="en-US"/>
        </w:rPr>
        <w:t xml:space="preserve"> </w:t>
      </w:r>
      <w:proofErr w:type="spellStart"/>
      <w:r>
        <w:rPr>
          <w:rFonts w:ascii="Calibri" w:eastAsia="Arial" w:hAnsi="Calibri" w:cs="Calibri"/>
          <w:lang w:val="en-US"/>
        </w:rPr>
        <w:t>Wasfi</w:t>
      </w:r>
      <w:proofErr w:type="spellEnd"/>
      <w:r>
        <w:rPr>
          <w:rFonts w:ascii="Calibri" w:eastAsia="Arial" w:hAnsi="Calibri" w:cs="Calibri"/>
          <w:lang w:val="en-US"/>
        </w:rPr>
        <w:t xml:space="preserve"> Fares</w:t>
      </w:r>
      <w:r>
        <w:rPr>
          <w:rFonts w:ascii="Calibri" w:eastAsia="Arial" w:hAnsi="Calibri" w:cs="Calibri"/>
          <w:vertAlign w:val="superscript"/>
          <w:lang w:val="en-US"/>
        </w:rPr>
        <w:t>1</w:t>
      </w:r>
      <w:proofErr w:type="gramStart"/>
      <w:r>
        <w:rPr>
          <w:rFonts w:ascii="Calibri" w:eastAsia="Arial" w:hAnsi="Calibri" w:cs="Calibri"/>
          <w:vertAlign w:val="superscript"/>
          <w:lang w:val="en-US"/>
        </w:rPr>
        <w:t>,2</w:t>
      </w:r>
      <w:proofErr w:type="gramEnd"/>
      <w:r>
        <w:rPr>
          <w:rFonts w:ascii="Calibri" w:eastAsia="Arial" w:hAnsi="Calibri" w:cs="Calibri"/>
          <w:vertAlign w:val="superscript"/>
          <w:lang w:val="en-US"/>
        </w:rPr>
        <w:t>,&amp;</w:t>
      </w:r>
      <w:r>
        <w:rPr>
          <w:rFonts w:ascii="Calibri" w:eastAsia="Arial" w:hAnsi="Calibri" w:cs="Calibri"/>
          <w:lang w:val="en-US"/>
        </w:rPr>
        <w:t>, Kais Ghedira</w:t>
      </w:r>
      <w:r>
        <w:rPr>
          <w:rFonts w:ascii="Calibri" w:eastAsia="Arial" w:hAnsi="Calibri" w:cs="Calibri"/>
          <w:vertAlign w:val="superscript"/>
          <w:lang w:val="en-US"/>
        </w:rPr>
        <w:t>3,&amp;</w:t>
      </w:r>
      <w:r>
        <w:rPr>
          <w:rFonts w:ascii="Calibri" w:eastAsia="Arial" w:hAnsi="Calibri" w:cs="Calibri"/>
          <w:lang w:val="en-US"/>
        </w:rPr>
        <w:t>, Khalil Dachraoui</w:t>
      </w:r>
      <w:r>
        <w:rPr>
          <w:rFonts w:ascii="Calibri" w:eastAsia="Arial" w:hAnsi="Calibri" w:cs="Calibri"/>
          <w:vertAlign w:val="superscript"/>
          <w:lang w:val="en-US"/>
        </w:rPr>
        <w:t>1,&amp;</w:t>
      </w:r>
      <w:r>
        <w:rPr>
          <w:rFonts w:ascii="Calibri" w:eastAsia="Arial" w:hAnsi="Calibri" w:cs="Calibri"/>
          <w:lang w:val="en-US"/>
        </w:rPr>
        <w:t xml:space="preserve">, </w:t>
      </w:r>
      <w:proofErr w:type="spellStart"/>
      <w:r>
        <w:rPr>
          <w:rFonts w:ascii="Calibri" w:eastAsia="Arial" w:hAnsi="Calibri" w:cs="Calibri"/>
          <w:lang w:val="en-US"/>
        </w:rPr>
        <w:t>Walid</w:t>
      </w:r>
      <w:proofErr w:type="spellEnd"/>
      <w:r>
        <w:rPr>
          <w:rFonts w:ascii="Calibri" w:eastAsia="Arial" w:hAnsi="Calibri" w:cs="Calibri"/>
          <w:lang w:val="en-US"/>
        </w:rPr>
        <w:t xml:space="preserve"> Barhoumi</w:t>
      </w:r>
      <w:r>
        <w:rPr>
          <w:rFonts w:ascii="Calibri" w:eastAsia="Arial" w:hAnsi="Calibri" w:cs="Calibri"/>
          <w:vertAlign w:val="superscript"/>
          <w:lang w:val="en-US"/>
        </w:rPr>
        <w:t>1</w:t>
      </w:r>
      <w:r>
        <w:rPr>
          <w:rFonts w:ascii="Calibri" w:eastAsia="Arial" w:hAnsi="Calibri" w:cs="Calibri"/>
          <w:lang w:val="en-US"/>
        </w:rPr>
        <w:t>, Said-</w:t>
      </w:r>
      <w:proofErr w:type="spellStart"/>
      <w:r>
        <w:rPr>
          <w:rFonts w:ascii="Calibri" w:eastAsia="Arial" w:hAnsi="Calibri" w:cs="Calibri"/>
          <w:lang w:val="en-US"/>
        </w:rPr>
        <w:t>eddine</w:t>
      </w:r>
      <w:proofErr w:type="spellEnd"/>
      <w:r>
        <w:rPr>
          <w:rFonts w:ascii="Calibri" w:eastAsia="Arial" w:hAnsi="Calibri" w:cs="Calibri"/>
          <w:lang w:val="en-US"/>
        </w:rPr>
        <w:t xml:space="preserve"> Cherni</w:t>
      </w:r>
      <w:r>
        <w:rPr>
          <w:rFonts w:ascii="Calibri" w:eastAsia="Arial" w:hAnsi="Calibri" w:cs="Calibri"/>
          <w:vertAlign w:val="superscript"/>
          <w:lang w:val="en-US"/>
        </w:rPr>
        <w:t>1</w:t>
      </w:r>
      <w:r>
        <w:rPr>
          <w:rFonts w:ascii="Calibri" w:eastAsia="Arial" w:hAnsi="Calibri" w:cs="Calibri"/>
          <w:lang w:val="en-US"/>
        </w:rPr>
        <w:t xml:space="preserve">, Henda Touzi², Henda Triki², </w:t>
      </w:r>
      <w:proofErr w:type="spellStart"/>
      <w:r>
        <w:rPr>
          <w:rFonts w:ascii="Calibri" w:eastAsia="Arial" w:hAnsi="Calibri" w:cs="Calibri"/>
          <w:lang w:val="en-US"/>
        </w:rPr>
        <w:t>Elyes</w:t>
      </w:r>
      <w:proofErr w:type="spellEnd"/>
      <w:r>
        <w:rPr>
          <w:rFonts w:ascii="Calibri" w:eastAsia="Arial" w:hAnsi="Calibri" w:cs="Calibri"/>
          <w:lang w:val="en-US"/>
        </w:rPr>
        <w:t xml:space="preserve"> Zhioua</w:t>
      </w:r>
      <w:r>
        <w:rPr>
          <w:rFonts w:ascii="Calibri" w:eastAsia="Arial" w:hAnsi="Calibri" w:cs="Calibri"/>
          <w:vertAlign w:val="superscript"/>
          <w:lang w:val="en-US"/>
        </w:rPr>
        <w:t>1</w:t>
      </w:r>
      <w:r>
        <w:rPr>
          <w:rFonts w:ascii="Calibri" w:eastAsia="Arial" w:hAnsi="Calibri" w:cs="Calibri"/>
          <w:lang w:val="en-US"/>
        </w:rPr>
        <w:t xml:space="preserve">. </w:t>
      </w:r>
    </w:p>
    <w:p w:rsidR="006E7F96" w:rsidRDefault="006E7F96" w:rsidP="006E7F96">
      <w:pPr>
        <w:spacing w:line="480" w:lineRule="auto"/>
        <w:jc w:val="both"/>
        <w:rPr>
          <w:rFonts w:ascii="Calibri" w:eastAsia="Arial" w:hAnsi="Calibri" w:cs="Calibri"/>
          <w:b/>
          <w:bCs/>
          <w:lang w:val="en-US"/>
        </w:rPr>
      </w:pPr>
      <w:bookmarkStart w:id="1" w:name="_GoBack"/>
      <w:bookmarkEnd w:id="1"/>
      <w:r>
        <w:rPr>
          <w:rFonts w:ascii="Calibri" w:eastAsia="Arial" w:hAnsi="Calibri" w:cs="Calibri"/>
          <w:b/>
          <w:bCs/>
          <w:lang w:val="en-US"/>
        </w:rPr>
        <w:t>Abstract:</w:t>
      </w:r>
    </w:p>
    <w:p w:rsidR="006E7F96" w:rsidRPr="00B43EF7" w:rsidRDefault="006E7F96" w:rsidP="006E7F96">
      <w:pPr>
        <w:spacing w:line="480" w:lineRule="auto"/>
        <w:jc w:val="both"/>
        <w:rPr>
          <w:lang w:val="en-US"/>
        </w:rPr>
      </w:pPr>
      <w:r>
        <w:rPr>
          <w:rFonts w:ascii="Calibri" w:eastAsia="Arial" w:hAnsi="Calibri" w:cs="Calibri"/>
          <w:lang w:val="en-US"/>
        </w:rPr>
        <w:t xml:space="preserve">Toscana virus (TOSV), a sandfly-borne virus, is transmitted to human by the bite of sandfly of the subgenus </w:t>
      </w:r>
      <w:r>
        <w:rPr>
          <w:rFonts w:ascii="Calibri" w:eastAsia="Arial" w:hAnsi="Calibri" w:cs="Calibri"/>
          <w:i/>
          <w:lang w:val="en-US"/>
        </w:rPr>
        <w:t>Larroussius,</w:t>
      </w:r>
      <w:r>
        <w:rPr>
          <w:rFonts w:ascii="Calibri" w:eastAsia="Arial" w:hAnsi="Calibri" w:cs="Calibri"/>
          <w:lang w:val="en-US"/>
        </w:rPr>
        <w:t xml:space="preserve"> mainly </w:t>
      </w:r>
      <w:r>
        <w:rPr>
          <w:rFonts w:ascii="Calibri" w:eastAsia="Arial" w:hAnsi="Calibri" w:cs="Calibri"/>
          <w:i/>
          <w:lang w:val="en-US"/>
        </w:rPr>
        <w:t>Phlebotomus perniciosus</w:t>
      </w:r>
      <w:r>
        <w:rPr>
          <w:rFonts w:ascii="Calibri" w:eastAsia="Arial" w:hAnsi="Calibri" w:cs="Calibri"/>
          <w:lang w:val="en-US"/>
        </w:rPr>
        <w:t xml:space="preserve"> and </w:t>
      </w:r>
      <w:r>
        <w:rPr>
          <w:rFonts w:ascii="Calibri" w:eastAsia="Arial" w:hAnsi="Calibri" w:cs="Calibri"/>
          <w:i/>
          <w:lang w:val="en-US"/>
        </w:rPr>
        <w:t>Phlebotomus perfiliewi</w:t>
      </w:r>
      <w:r>
        <w:rPr>
          <w:rFonts w:ascii="Calibri" w:eastAsia="Arial" w:hAnsi="Calibri" w:cs="Calibri"/>
          <w:lang w:val="en-US"/>
        </w:rPr>
        <w:t xml:space="preserve"> species. TOSV infections can lead to the outbreaks of acute meningitis or meningo-encephalitis cases. Until now, the epidemiological status of TOSV infections remains largely unknown. Here, we performed a Bayesian Markov Chain Monte Carlo analysis with strict and relaxed molecular clocks to estimate the demographic history of the TOSV infection in a series of isolates sampled between 1971 and 2015. The present results showed that the tmrca of the TOSV in the Mediterranean basin occurs around 1489 (927-1795) with a tmrca in Tunisia around 1981 (1928-2004). Bayesian skyline plot revealed a short decrease in the effective number of infections around 1975 with a net increase during the last 40 years in North and South Mediterranean countries. The phylogeography of TOSV showed that all circulating lineages in the Mediterranean basin and in Tunisia spread from Italy. The present study contributed to reveal the time of origin and patterns of geographical dispersal of the different isolates in the Mediterranean basin, particularly in Tunisia</w:t>
      </w:r>
      <w:r>
        <w:rPr>
          <w:rFonts w:ascii="Calibri" w:eastAsia="Arial" w:hAnsi="Calibri" w:cs="Calibri"/>
          <w:b/>
          <w:bCs/>
          <w:lang w:val="en-US"/>
        </w:rPr>
        <w:t>.</w:t>
      </w:r>
    </w:p>
    <w:p w:rsidR="006E7F96" w:rsidRPr="00B43EF7" w:rsidRDefault="006E7F96" w:rsidP="006E7F96">
      <w:pPr>
        <w:spacing w:line="480" w:lineRule="auto"/>
        <w:jc w:val="both"/>
        <w:rPr>
          <w:lang w:val="en-US"/>
        </w:rPr>
      </w:pPr>
      <w:r>
        <w:rPr>
          <w:rFonts w:ascii="Calibri" w:eastAsia="Arial" w:hAnsi="Calibri" w:cs="Calibri"/>
          <w:b/>
          <w:bCs/>
          <w:lang w:val="en-US"/>
        </w:rPr>
        <w:t>Keywords:</w:t>
      </w:r>
      <w:r>
        <w:rPr>
          <w:rFonts w:ascii="Calibri" w:eastAsia="Arial" w:hAnsi="Calibri" w:cs="Calibri"/>
          <w:lang w:val="en-US"/>
        </w:rPr>
        <w:t xml:space="preserve"> TOSV, phylogeography, bayesian coalescent approach, Mediterranean basin, Tunisia, phylogenetic history</w:t>
      </w:r>
    </w:p>
    <w:p w:rsidR="00405648" w:rsidRPr="006E7F96" w:rsidRDefault="00405648">
      <w:pPr>
        <w:rPr>
          <w:lang w:val="en-US"/>
        </w:rPr>
      </w:pPr>
    </w:p>
    <w:sectPr w:rsidR="00405648" w:rsidRPr="006E7F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F96"/>
    <w:rsid w:val="00405648"/>
    <w:rsid w:val="006E7F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F96"/>
    <w:pPr>
      <w:overflowPunct w:val="0"/>
    </w:pPr>
    <w:rPr>
      <w:rFonts w:ascii="Liberation Serif" w:eastAsia="Noto Sans CJK SC Regular" w:hAnsi="Liberation Serif" w:cs="FreeSans"/>
      <w:color w:val="00000A"/>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E7F96"/>
    <w:pPr>
      <w:spacing w:after="0" w:line="240" w:lineRule="auto"/>
    </w:pPr>
    <w:rPr>
      <w:rFonts w:ascii="Tahoma" w:hAnsi="Tahoma" w:cs="Mangal"/>
      <w:sz w:val="16"/>
      <w:szCs w:val="14"/>
    </w:rPr>
  </w:style>
  <w:style w:type="character" w:customStyle="1" w:styleId="TextedebullesCar">
    <w:name w:val="Texte de bulles Car"/>
    <w:basedOn w:val="Policepardfaut"/>
    <w:link w:val="Textedebulles"/>
    <w:uiPriority w:val="99"/>
    <w:semiHidden/>
    <w:rsid w:val="006E7F96"/>
    <w:rPr>
      <w:rFonts w:ascii="Tahoma" w:eastAsia="Noto Sans CJK SC Regular" w:hAnsi="Tahoma" w:cs="Mangal"/>
      <w:color w:val="00000A"/>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F96"/>
    <w:pPr>
      <w:overflowPunct w:val="0"/>
    </w:pPr>
    <w:rPr>
      <w:rFonts w:ascii="Liberation Serif" w:eastAsia="Noto Sans CJK SC Regular" w:hAnsi="Liberation Serif" w:cs="FreeSans"/>
      <w:color w:val="00000A"/>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E7F96"/>
    <w:pPr>
      <w:spacing w:after="0" w:line="240" w:lineRule="auto"/>
    </w:pPr>
    <w:rPr>
      <w:rFonts w:ascii="Tahoma" w:hAnsi="Tahoma" w:cs="Mangal"/>
      <w:sz w:val="16"/>
      <w:szCs w:val="14"/>
    </w:rPr>
  </w:style>
  <w:style w:type="character" w:customStyle="1" w:styleId="TextedebullesCar">
    <w:name w:val="Texte de bulles Car"/>
    <w:basedOn w:val="Policepardfaut"/>
    <w:link w:val="Textedebulles"/>
    <w:uiPriority w:val="99"/>
    <w:semiHidden/>
    <w:rsid w:val="006E7F96"/>
    <w:rPr>
      <w:rFonts w:ascii="Tahoma" w:eastAsia="Noto Sans CJK SC Regular" w:hAnsi="Tahoma" w:cs="Mangal"/>
      <w:color w:val="00000A"/>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1370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2018-06-15T20:58:00Z</dcterms:created>
  <dcterms:modified xsi:type="dcterms:W3CDTF">2018-06-15T20:59:00Z</dcterms:modified>
</cp:coreProperties>
</file>