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69BC" w:rsidRDefault="004B69BC" w:rsidP="00256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color w:val="000000"/>
          <w:sz w:val="24"/>
          <w:szCs w:val="24"/>
          <w:lang w:val="en-US"/>
        </w:rPr>
      </w:pPr>
    </w:p>
    <w:p w:rsidR="003247EC" w:rsidRDefault="003247EC" w:rsidP="00256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color w:val="000000"/>
          <w:sz w:val="24"/>
          <w:szCs w:val="24"/>
          <w:lang w:val="en-US"/>
        </w:rPr>
      </w:pPr>
    </w:p>
    <w:p w:rsidR="00130C07" w:rsidRDefault="00F2718F" w:rsidP="00256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color w:val="000000"/>
          <w:sz w:val="24"/>
          <w:szCs w:val="24"/>
          <w:lang w:val="en-US"/>
        </w:rPr>
      </w:pPr>
      <w:bookmarkStart w:id="0" w:name="_GoBack"/>
      <w:bookmarkEnd w:id="0"/>
      <w:r w:rsidRPr="00F2718F">
        <w:rPr>
          <w:rFonts w:ascii="Times New Roman" w:eastAsia="Times New Roman" w:hAnsi="Times New Roman" w:cs="Times New Roman"/>
          <w:b/>
          <w:color w:val="000000"/>
          <w:sz w:val="24"/>
          <w:szCs w:val="24"/>
          <w:lang w:val="en-US"/>
        </w:rPr>
        <w:t>Impact of human therapeutic monoclonal antibodies on blood biochemistry and hematology – pig model</w:t>
      </w:r>
    </w:p>
    <w:p w:rsidR="00256616" w:rsidRPr="00F2718F" w:rsidRDefault="00256616" w:rsidP="00256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color w:val="000000"/>
          <w:sz w:val="24"/>
          <w:szCs w:val="24"/>
          <w:lang w:val="en-US"/>
        </w:rPr>
      </w:pPr>
    </w:p>
    <w:p w:rsidR="00130C07" w:rsidRDefault="00F2718F" w:rsidP="00130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olor w:val="000000"/>
          <w:sz w:val="24"/>
          <w:szCs w:val="24"/>
        </w:rPr>
      </w:pPr>
      <w:r w:rsidRPr="00F2718F">
        <w:rPr>
          <w:rFonts w:ascii="Times New Roman" w:eastAsia="Times New Roman" w:hAnsi="Times New Roman" w:cs="Times New Roman"/>
          <w:color w:val="000000"/>
          <w:sz w:val="24"/>
          <w:szCs w:val="24"/>
        </w:rPr>
        <w:t>Artur Burmańczuk, Cezary Kowalski</w:t>
      </w:r>
    </w:p>
    <w:p w:rsidR="00130C07" w:rsidRPr="00256616" w:rsidRDefault="00130C07" w:rsidP="00256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0"/>
          <w:szCs w:val="20"/>
        </w:rPr>
      </w:pPr>
    </w:p>
    <w:p w:rsidR="00F2718F" w:rsidRPr="00256616" w:rsidRDefault="00F2718F" w:rsidP="00256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color w:val="000000"/>
          <w:sz w:val="18"/>
          <w:szCs w:val="18"/>
        </w:rPr>
      </w:pPr>
      <w:r w:rsidRPr="00256616">
        <w:rPr>
          <w:rFonts w:ascii="Times New Roman" w:eastAsia="Times New Roman" w:hAnsi="Times New Roman" w:cs="Times New Roman"/>
          <w:i/>
          <w:color w:val="000000"/>
          <w:sz w:val="18"/>
          <w:szCs w:val="18"/>
          <w:lang w:val="en-US"/>
        </w:rPr>
        <w:t xml:space="preserve">Sub-Department of Pharmacology, Toxicology and Environmental Protection, Faculty of Veterinary Medicine, University of Life Sciences, </w:t>
      </w:r>
      <w:proofErr w:type="spellStart"/>
      <w:r w:rsidRPr="00256616">
        <w:rPr>
          <w:rFonts w:ascii="Times New Roman" w:eastAsia="Times New Roman" w:hAnsi="Times New Roman" w:cs="Times New Roman"/>
          <w:i/>
          <w:color w:val="000000"/>
          <w:sz w:val="18"/>
          <w:szCs w:val="18"/>
          <w:lang w:val="en-US"/>
        </w:rPr>
        <w:t>Akademi</w:t>
      </w:r>
      <w:r w:rsidR="00256616" w:rsidRPr="00256616">
        <w:rPr>
          <w:rFonts w:ascii="Times New Roman" w:eastAsia="Times New Roman" w:hAnsi="Times New Roman" w:cs="Times New Roman"/>
          <w:i/>
          <w:color w:val="000000"/>
          <w:sz w:val="18"/>
          <w:szCs w:val="18"/>
          <w:lang w:val="en-US"/>
        </w:rPr>
        <w:t>cka</w:t>
      </w:r>
      <w:proofErr w:type="spellEnd"/>
      <w:r w:rsidR="00256616" w:rsidRPr="00256616">
        <w:rPr>
          <w:rFonts w:ascii="Times New Roman" w:eastAsia="Times New Roman" w:hAnsi="Times New Roman" w:cs="Times New Roman"/>
          <w:i/>
          <w:color w:val="000000"/>
          <w:sz w:val="18"/>
          <w:szCs w:val="18"/>
          <w:lang w:val="en-US"/>
        </w:rPr>
        <w:t xml:space="preserve"> 12, 20-033 Lublin, Poland, </w:t>
      </w:r>
      <w:r w:rsidRPr="00256616">
        <w:rPr>
          <w:rFonts w:ascii="Times New Roman" w:eastAsia="Times New Roman" w:hAnsi="Times New Roman" w:cs="Times New Roman"/>
          <w:i/>
          <w:color w:val="000000"/>
          <w:sz w:val="18"/>
          <w:szCs w:val="18"/>
          <w:lang w:val="en-US"/>
        </w:rPr>
        <w:t>e-mail: artur.burmanczuk@up.lublin.pl, tel.: + 48 814456854</w:t>
      </w:r>
    </w:p>
    <w:p w:rsidR="00130C07" w:rsidRPr="00130C07" w:rsidRDefault="00130C07" w:rsidP="00130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sz w:val="24"/>
          <w:szCs w:val="24"/>
          <w:lang w:val="en-US"/>
        </w:rPr>
      </w:pPr>
    </w:p>
    <w:p w:rsidR="00F2718F" w:rsidRPr="00256616" w:rsidRDefault="00F2718F" w:rsidP="00256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3"/>
          <w:szCs w:val="23"/>
          <w:lang w:val="en-US"/>
        </w:rPr>
      </w:pPr>
      <w:r w:rsidRPr="00256616">
        <w:rPr>
          <w:rFonts w:ascii="Times New Roman" w:eastAsia="Times New Roman" w:hAnsi="Times New Roman" w:cs="Times New Roman"/>
          <w:b/>
          <w:color w:val="000000"/>
          <w:sz w:val="23"/>
          <w:szCs w:val="23"/>
          <w:lang w:val="en-US"/>
        </w:rPr>
        <w:t>ABSTRACT</w:t>
      </w:r>
    </w:p>
    <w:p w:rsidR="00F2718F" w:rsidRPr="00256616" w:rsidRDefault="00F2718F" w:rsidP="00256616">
      <w:pPr>
        <w:spacing w:after="0" w:line="240" w:lineRule="auto"/>
        <w:ind w:firstLine="708"/>
        <w:jc w:val="both"/>
        <w:rPr>
          <w:rFonts w:ascii="Times New Roman" w:eastAsia="Calibri" w:hAnsi="Times New Roman" w:cs="Times New Roman"/>
          <w:sz w:val="23"/>
          <w:szCs w:val="23"/>
          <w:lang w:val="en-US"/>
        </w:rPr>
      </w:pPr>
      <w:r w:rsidRPr="00256616">
        <w:rPr>
          <w:rFonts w:ascii="Times New Roman" w:eastAsia="Calibri" w:hAnsi="Times New Roman" w:cs="Times New Roman"/>
          <w:sz w:val="23"/>
          <w:szCs w:val="23"/>
          <w:lang w:val="en-US"/>
        </w:rPr>
        <w:t>The aim of the study was to carry out a comparative analysis of the variability of selected biochemical and hematological parameters of the blood after administration of five different human therapeutic monoclonal antibodies (</w:t>
      </w:r>
      <w:proofErr w:type="spellStart"/>
      <w:r w:rsidRPr="00256616">
        <w:rPr>
          <w:rFonts w:ascii="Times New Roman" w:eastAsia="Calibri" w:hAnsi="Times New Roman" w:cs="Times New Roman"/>
          <w:sz w:val="23"/>
          <w:szCs w:val="23"/>
          <w:lang w:val="en-US"/>
        </w:rPr>
        <w:t>mAbs</w:t>
      </w:r>
      <w:proofErr w:type="spellEnd"/>
      <w:r w:rsidRPr="00256616">
        <w:rPr>
          <w:rFonts w:ascii="Times New Roman" w:eastAsia="Calibri" w:hAnsi="Times New Roman" w:cs="Times New Roman"/>
          <w:sz w:val="23"/>
          <w:szCs w:val="23"/>
          <w:lang w:val="en-US"/>
        </w:rPr>
        <w:t xml:space="preserve">) after a single subcutaneous (SC) dose in breeding pigs. The tested drugs included </w:t>
      </w:r>
      <w:proofErr w:type="spellStart"/>
      <w:r w:rsidRPr="00256616">
        <w:rPr>
          <w:rFonts w:ascii="Times New Roman" w:eastAsia="Calibri" w:hAnsi="Times New Roman" w:cs="Times New Roman"/>
          <w:sz w:val="23"/>
          <w:szCs w:val="23"/>
          <w:lang w:val="en-US"/>
        </w:rPr>
        <w:t>siltuximab</w:t>
      </w:r>
      <w:proofErr w:type="spellEnd"/>
      <w:r w:rsidRPr="00256616">
        <w:rPr>
          <w:rFonts w:ascii="Times New Roman" w:eastAsia="Calibri" w:hAnsi="Times New Roman" w:cs="Times New Roman"/>
          <w:sz w:val="23"/>
          <w:szCs w:val="23"/>
          <w:lang w:val="en-US"/>
        </w:rPr>
        <w:t xml:space="preserve"> (</w:t>
      </w:r>
      <w:proofErr w:type="spellStart"/>
      <w:r w:rsidRPr="00256616">
        <w:rPr>
          <w:rFonts w:ascii="Times New Roman" w:eastAsia="Calibri" w:hAnsi="Times New Roman" w:cs="Times New Roman"/>
          <w:sz w:val="23"/>
          <w:szCs w:val="23"/>
          <w:lang w:val="en-US"/>
        </w:rPr>
        <w:t>Sylvant</w:t>
      </w:r>
      <w:proofErr w:type="spellEnd"/>
      <w:r w:rsidRPr="00256616">
        <w:rPr>
          <w:rFonts w:ascii="Times New Roman" w:eastAsia="Calibri" w:hAnsi="Times New Roman" w:cs="Times New Roman"/>
          <w:sz w:val="23"/>
          <w:szCs w:val="23"/>
          <w:vertAlign w:val="superscript"/>
          <w:lang w:val="en-US"/>
        </w:rPr>
        <w:t>®</w:t>
      </w:r>
      <w:r w:rsidRPr="00256616">
        <w:rPr>
          <w:rFonts w:ascii="Times New Roman" w:eastAsia="Calibri" w:hAnsi="Times New Roman" w:cs="Times New Roman"/>
          <w:sz w:val="23"/>
          <w:szCs w:val="23"/>
          <w:lang w:val="en-US"/>
        </w:rPr>
        <w:t xml:space="preserve">), </w:t>
      </w:r>
      <w:proofErr w:type="spellStart"/>
      <w:r w:rsidRPr="00256616">
        <w:rPr>
          <w:rFonts w:ascii="Times New Roman" w:eastAsia="Calibri" w:hAnsi="Times New Roman" w:cs="Times New Roman"/>
          <w:sz w:val="23"/>
          <w:szCs w:val="23"/>
          <w:lang w:val="en-US"/>
        </w:rPr>
        <w:t>omalizumab</w:t>
      </w:r>
      <w:proofErr w:type="spellEnd"/>
      <w:r w:rsidRPr="00256616">
        <w:rPr>
          <w:rFonts w:ascii="Times New Roman" w:eastAsia="Calibri" w:hAnsi="Times New Roman" w:cs="Times New Roman"/>
          <w:sz w:val="23"/>
          <w:szCs w:val="23"/>
          <w:lang w:val="en-US"/>
        </w:rPr>
        <w:t xml:space="preserve"> (</w:t>
      </w:r>
      <w:proofErr w:type="spellStart"/>
      <w:r w:rsidRPr="00256616">
        <w:rPr>
          <w:rFonts w:ascii="Times New Roman" w:eastAsia="Calibri" w:hAnsi="Times New Roman" w:cs="Times New Roman"/>
          <w:sz w:val="23"/>
          <w:szCs w:val="23"/>
          <w:lang w:val="en-US"/>
        </w:rPr>
        <w:t>Xolair</w:t>
      </w:r>
      <w:proofErr w:type="spellEnd"/>
      <w:r w:rsidRPr="00256616">
        <w:rPr>
          <w:rFonts w:ascii="Times New Roman" w:eastAsia="Calibri" w:hAnsi="Times New Roman" w:cs="Times New Roman"/>
          <w:sz w:val="23"/>
          <w:szCs w:val="23"/>
          <w:vertAlign w:val="superscript"/>
          <w:lang w:val="en-US"/>
        </w:rPr>
        <w:t>®</w:t>
      </w:r>
      <w:r w:rsidRPr="00256616">
        <w:rPr>
          <w:rFonts w:ascii="Times New Roman" w:eastAsia="Calibri" w:hAnsi="Times New Roman" w:cs="Times New Roman"/>
          <w:sz w:val="23"/>
          <w:szCs w:val="23"/>
          <w:lang w:val="en-US"/>
        </w:rPr>
        <w:t>), infliximab (</w:t>
      </w:r>
      <w:proofErr w:type="spellStart"/>
      <w:r w:rsidRPr="00256616">
        <w:rPr>
          <w:rFonts w:ascii="Times New Roman" w:eastAsia="Calibri" w:hAnsi="Times New Roman" w:cs="Times New Roman"/>
          <w:sz w:val="23"/>
          <w:szCs w:val="23"/>
          <w:lang w:val="en-US"/>
        </w:rPr>
        <w:t>Inflectra</w:t>
      </w:r>
      <w:proofErr w:type="spellEnd"/>
      <w:r w:rsidRPr="00256616">
        <w:rPr>
          <w:rFonts w:ascii="Times New Roman" w:eastAsia="Calibri" w:hAnsi="Times New Roman" w:cs="Times New Roman"/>
          <w:sz w:val="23"/>
          <w:szCs w:val="23"/>
          <w:vertAlign w:val="superscript"/>
          <w:lang w:val="en-US"/>
        </w:rPr>
        <w:t>®</w:t>
      </w:r>
      <w:r w:rsidRPr="00256616">
        <w:rPr>
          <w:rFonts w:ascii="Times New Roman" w:eastAsia="Calibri" w:hAnsi="Times New Roman" w:cs="Times New Roman"/>
          <w:sz w:val="23"/>
          <w:szCs w:val="23"/>
          <w:lang w:val="en-US"/>
        </w:rPr>
        <w:t xml:space="preserve">), </w:t>
      </w:r>
      <w:proofErr w:type="spellStart"/>
      <w:r w:rsidRPr="00256616">
        <w:rPr>
          <w:rFonts w:ascii="Times New Roman" w:eastAsia="Calibri" w:hAnsi="Times New Roman" w:cs="Times New Roman"/>
          <w:sz w:val="23"/>
          <w:szCs w:val="23"/>
          <w:lang w:val="en-US"/>
        </w:rPr>
        <w:t>pembrolizumab</w:t>
      </w:r>
      <w:proofErr w:type="spellEnd"/>
      <w:r w:rsidRPr="00256616">
        <w:rPr>
          <w:rFonts w:ascii="Times New Roman" w:eastAsia="Calibri" w:hAnsi="Times New Roman" w:cs="Times New Roman"/>
          <w:sz w:val="23"/>
          <w:szCs w:val="23"/>
          <w:lang w:val="en-US"/>
        </w:rPr>
        <w:t xml:space="preserve"> (</w:t>
      </w:r>
      <w:proofErr w:type="spellStart"/>
      <w:r w:rsidRPr="00256616">
        <w:rPr>
          <w:rFonts w:ascii="Times New Roman" w:eastAsia="Calibri" w:hAnsi="Times New Roman" w:cs="Times New Roman"/>
          <w:sz w:val="23"/>
          <w:szCs w:val="23"/>
          <w:lang w:val="en-US"/>
        </w:rPr>
        <w:t>Keytruda</w:t>
      </w:r>
      <w:proofErr w:type="spellEnd"/>
      <w:r w:rsidRPr="00256616">
        <w:rPr>
          <w:rFonts w:ascii="Times New Roman" w:eastAsia="Calibri" w:hAnsi="Times New Roman" w:cs="Times New Roman"/>
          <w:sz w:val="23"/>
          <w:szCs w:val="23"/>
          <w:vertAlign w:val="superscript"/>
          <w:lang w:val="en-US"/>
        </w:rPr>
        <w:t>®</w:t>
      </w:r>
      <w:r w:rsidRPr="00256616">
        <w:rPr>
          <w:rFonts w:ascii="Times New Roman" w:eastAsia="Calibri" w:hAnsi="Times New Roman" w:cs="Times New Roman"/>
          <w:sz w:val="23"/>
          <w:szCs w:val="23"/>
          <w:lang w:val="en-US"/>
        </w:rPr>
        <w:t xml:space="preserve">), and </w:t>
      </w:r>
      <w:proofErr w:type="spellStart"/>
      <w:r w:rsidRPr="00256616">
        <w:rPr>
          <w:rFonts w:ascii="Times New Roman" w:eastAsia="Calibri" w:hAnsi="Times New Roman" w:cs="Times New Roman"/>
          <w:sz w:val="23"/>
          <w:szCs w:val="23"/>
          <w:lang w:val="en-US"/>
        </w:rPr>
        <w:t>vedolizumab</w:t>
      </w:r>
      <w:proofErr w:type="spellEnd"/>
      <w:r w:rsidRPr="00256616">
        <w:rPr>
          <w:rFonts w:ascii="Times New Roman" w:eastAsia="Calibri" w:hAnsi="Times New Roman" w:cs="Times New Roman"/>
          <w:sz w:val="23"/>
          <w:szCs w:val="23"/>
          <w:lang w:val="en-US"/>
        </w:rPr>
        <w:t xml:space="preserve"> (</w:t>
      </w:r>
      <w:proofErr w:type="spellStart"/>
      <w:r w:rsidRPr="00256616">
        <w:rPr>
          <w:rFonts w:ascii="Times New Roman" w:eastAsia="Calibri" w:hAnsi="Times New Roman" w:cs="Times New Roman"/>
          <w:sz w:val="23"/>
          <w:szCs w:val="23"/>
          <w:lang w:val="en-US"/>
        </w:rPr>
        <w:t>Entyvio</w:t>
      </w:r>
      <w:proofErr w:type="spellEnd"/>
      <w:r w:rsidRPr="00256616">
        <w:rPr>
          <w:rFonts w:ascii="Times New Roman" w:eastAsia="Calibri" w:hAnsi="Times New Roman" w:cs="Times New Roman"/>
          <w:sz w:val="23"/>
          <w:szCs w:val="23"/>
          <w:vertAlign w:val="superscript"/>
          <w:lang w:val="en-US"/>
        </w:rPr>
        <w:t>®</w:t>
      </w:r>
      <w:r w:rsidRPr="00256616">
        <w:rPr>
          <w:rFonts w:ascii="Times New Roman" w:eastAsia="Calibri" w:hAnsi="Times New Roman" w:cs="Times New Roman"/>
          <w:sz w:val="23"/>
          <w:szCs w:val="23"/>
          <w:lang w:val="en-US"/>
        </w:rPr>
        <w:t xml:space="preserve">) given in a single 1 mg/kg SC injection. </w:t>
      </w:r>
      <w:r w:rsidRPr="00256616">
        <w:rPr>
          <w:rFonts w:ascii="Times New Roman" w:eastAsia="Times New Roman" w:hAnsi="Times New Roman" w:cs="Times New Roman"/>
          <w:color w:val="000000"/>
          <w:sz w:val="23"/>
          <w:szCs w:val="23"/>
          <w:lang w:val="en-US"/>
        </w:rPr>
        <w:t xml:space="preserve">The study has proved that </w:t>
      </w:r>
      <w:r w:rsidRPr="00256616">
        <w:rPr>
          <w:rFonts w:ascii="Times New Roman" w:eastAsia="Calibri" w:hAnsi="Times New Roman" w:cs="Times New Roman"/>
          <w:sz w:val="23"/>
          <w:szCs w:val="23"/>
          <w:lang w:val="en-US"/>
        </w:rPr>
        <w:t xml:space="preserve">the </w:t>
      </w:r>
      <w:r w:rsidRPr="00256616">
        <w:rPr>
          <w:rFonts w:ascii="Times New Roman" w:eastAsia="Times New Roman" w:hAnsi="Times New Roman" w:cs="Times New Roman"/>
          <w:color w:val="000000"/>
          <w:sz w:val="23"/>
          <w:szCs w:val="23"/>
          <w:lang w:val="en-US"/>
        </w:rPr>
        <w:t xml:space="preserve">impact of </w:t>
      </w:r>
      <w:proofErr w:type="spellStart"/>
      <w:r w:rsidRPr="00256616">
        <w:rPr>
          <w:rFonts w:ascii="Times New Roman" w:eastAsia="Times New Roman" w:hAnsi="Times New Roman" w:cs="Times New Roman"/>
          <w:color w:val="000000"/>
          <w:sz w:val="23"/>
          <w:szCs w:val="23"/>
          <w:lang w:val="en-US"/>
        </w:rPr>
        <w:t>mAbs</w:t>
      </w:r>
      <w:proofErr w:type="spellEnd"/>
      <w:r w:rsidRPr="00256616">
        <w:rPr>
          <w:rFonts w:ascii="Times New Roman" w:eastAsia="Times New Roman" w:hAnsi="Times New Roman" w:cs="Times New Roman"/>
          <w:color w:val="000000"/>
          <w:sz w:val="23"/>
          <w:szCs w:val="23"/>
          <w:lang w:val="en-US"/>
        </w:rPr>
        <w:t xml:space="preserve"> on</w:t>
      </w:r>
      <w:r w:rsidRPr="00256616">
        <w:rPr>
          <w:rFonts w:ascii="Times New Roman" w:eastAsia="Calibri" w:hAnsi="Times New Roman" w:cs="Times New Roman"/>
          <w:sz w:val="23"/>
          <w:szCs w:val="23"/>
          <w:lang w:val="en-US"/>
        </w:rPr>
        <w:t xml:space="preserve"> the</w:t>
      </w:r>
      <w:r w:rsidRPr="00256616">
        <w:rPr>
          <w:rFonts w:ascii="Times New Roman" w:eastAsia="Times New Roman" w:hAnsi="Times New Roman" w:cs="Times New Roman"/>
          <w:color w:val="000000"/>
          <w:sz w:val="23"/>
          <w:szCs w:val="23"/>
          <w:lang w:val="en-US"/>
        </w:rPr>
        <w:t xml:space="preserve"> analyzed parameters can be significantly extended over time. This means the need to monitor hematological parameters in the piglet model even many weeks after administration of </w:t>
      </w:r>
      <w:r w:rsidRPr="00256616">
        <w:rPr>
          <w:rFonts w:ascii="Times New Roman" w:eastAsia="Calibri" w:hAnsi="Times New Roman" w:cs="Times New Roman"/>
          <w:sz w:val="23"/>
          <w:szCs w:val="23"/>
          <w:lang w:val="en-US"/>
        </w:rPr>
        <w:t xml:space="preserve">a </w:t>
      </w:r>
      <w:r w:rsidRPr="00256616">
        <w:rPr>
          <w:rFonts w:ascii="Times New Roman" w:eastAsia="Times New Roman" w:hAnsi="Times New Roman" w:cs="Times New Roman"/>
          <w:color w:val="000000"/>
          <w:sz w:val="23"/>
          <w:szCs w:val="23"/>
          <w:lang w:val="en-US"/>
        </w:rPr>
        <w:t>drug in a relatively small dose.</w:t>
      </w:r>
    </w:p>
    <w:p w:rsidR="00F2718F" w:rsidRPr="00256616" w:rsidRDefault="00F2718F" w:rsidP="00256616">
      <w:pPr>
        <w:spacing w:after="0" w:line="240" w:lineRule="auto"/>
        <w:jc w:val="center"/>
        <w:rPr>
          <w:rFonts w:ascii="Times New Roman" w:eastAsia="Calibri" w:hAnsi="Times New Roman" w:cs="Times New Roman"/>
          <w:b/>
          <w:sz w:val="23"/>
          <w:szCs w:val="23"/>
          <w:lang w:val="en-US"/>
        </w:rPr>
      </w:pPr>
      <w:r w:rsidRPr="00256616">
        <w:rPr>
          <w:rFonts w:ascii="Times New Roman" w:eastAsia="Calibri" w:hAnsi="Times New Roman" w:cs="Times New Roman"/>
          <w:b/>
          <w:sz w:val="23"/>
          <w:szCs w:val="23"/>
          <w:lang w:val="en-US"/>
        </w:rPr>
        <w:t>INTRODUCTION</w:t>
      </w:r>
    </w:p>
    <w:p w:rsidR="00F2718F" w:rsidRPr="00256616" w:rsidRDefault="00F2718F" w:rsidP="00256616">
      <w:pPr>
        <w:spacing w:after="0" w:line="240" w:lineRule="auto"/>
        <w:ind w:firstLine="708"/>
        <w:jc w:val="both"/>
        <w:rPr>
          <w:rFonts w:ascii="Times New Roman" w:eastAsia="Calibri" w:hAnsi="Times New Roman" w:cs="Times New Roman"/>
          <w:sz w:val="23"/>
          <w:szCs w:val="23"/>
          <w:lang w:val="en-US"/>
        </w:rPr>
      </w:pPr>
      <w:r w:rsidRPr="00256616">
        <w:rPr>
          <w:rFonts w:ascii="Times New Roman" w:eastAsia="Calibri" w:hAnsi="Times New Roman" w:cs="Times New Roman"/>
          <w:sz w:val="23"/>
          <w:szCs w:val="23"/>
          <w:lang w:val="en-US"/>
        </w:rPr>
        <w:t xml:space="preserve">The pig has been comprehensively investigated as a potential animal model in preclinical development for a long time. The use of the pig as a model in pharmacology has been investigated in general pharmacology, </w:t>
      </w:r>
      <w:proofErr w:type="spellStart"/>
      <w:r w:rsidRPr="00256616">
        <w:rPr>
          <w:rFonts w:ascii="Times New Roman" w:eastAsia="Calibri" w:hAnsi="Times New Roman" w:cs="Times New Roman"/>
          <w:sz w:val="23"/>
          <w:szCs w:val="23"/>
          <w:lang w:val="en-US"/>
        </w:rPr>
        <w:t>pharmacometrics</w:t>
      </w:r>
      <w:proofErr w:type="spellEnd"/>
      <w:r w:rsidRPr="00256616">
        <w:rPr>
          <w:rFonts w:ascii="Times New Roman" w:eastAsia="Calibri" w:hAnsi="Times New Roman" w:cs="Times New Roman"/>
          <w:sz w:val="23"/>
          <w:szCs w:val="23"/>
          <w:lang w:val="en-US"/>
        </w:rPr>
        <w:t xml:space="preserve">, toxicology, and hematology. The benefits associated with such an animal model have been underlined for a long time. The pig is used as a model for testing both synthetic and biological medicines applied in human therapies. In the case of biological medicines, it is particularly appreciated for subcutaneously (SC) administered drugs. Intra-individual variability is not such an important problem because cross-over studies are usually excluded in animals due to the prolonged </w:t>
      </w:r>
      <w:proofErr w:type="spellStart"/>
      <w:r w:rsidRPr="00256616">
        <w:rPr>
          <w:rFonts w:ascii="Times New Roman" w:eastAsia="Calibri" w:hAnsi="Times New Roman" w:cs="Times New Roman"/>
          <w:sz w:val="23"/>
          <w:szCs w:val="23"/>
          <w:lang w:val="en-US"/>
        </w:rPr>
        <w:t>pharmacodynamic</w:t>
      </w:r>
      <w:proofErr w:type="spellEnd"/>
      <w:r w:rsidRPr="00256616">
        <w:rPr>
          <w:rFonts w:ascii="Times New Roman" w:eastAsia="Calibri" w:hAnsi="Times New Roman" w:cs="Times New Roman"/>
          <w:sz w:val="23"/>
          <w:szCs w:val="23"/>
          <w:lang w:val="en-US"/>
        </w:rPr>
        <w:t xml:space="preserve"> effects after administration of biological drugs. In addition, each subsequent administration of the drug may induce a higher immune response (boosting effect), thereby influencing the results of the study. One of the key elements reflecting the variability of biological drugs is their impact on blood biochemistry and hematology. The effects of biological drugs on blood cells or blood biochemistry can have a significant impact on the results of </w:t>
      </w:r>
      <w:proofErr w:type="spellStart"/>
      <w:r w:rsidRPr="00256616">
        <w:rPr>
          <w:rFonts w:ascii="Times New Roman" w:eastAsia="Calibri" w:hAnsi="Times New Roman" w:cs="Times New Roman"/>
          <w:sz w:val="23"/>
          <w:szCs w:val="23"/>
          <w:lang w:val="en-US"/>
        </w:rPr>
        <w:t>pharmacodynamic</w:t>
      </w:r>
      <w:proofErr w:type="spellEnd"/>
      <w:r w:rsidRPr="00256616">
        <w:rPr>
          <w:rFonts w:ascii="Times New Roman" w:eastAsia="Calibri" w:hAnsi="Times New Roman" w:cs="Times New Roman"/>
          <w:sz w:val="23"/>
          <w:szCs w:val="23"/>
          <w:lang w:val="en-US"/>
        </w:rPr>
        <w:t xml:space="preserve"> or pharmacokinetic studies. The aim of the study was to carry out a comparative analysis of the variability of selected biochemical and hematological parameters of the blood after administration of five different human therapeutic monoclonal antibodies (</w:t>
      </w:r>
      <w:proofErr w:type="spellStart"/>
      <w:r w:rsidRPr="00256616">
        <w:rPr>
          <w:rFonts w:ascii="Times New Roman" w:eastAsia="Calibri" w:hAnsi="Times New Roman" w:cs="Times New Roman"/>
          <w:sz w:val="23"/>
          <w:szCs w:val="23"/>
          <w:lang w:val="en-US"/>
        </w:rPr>
        <w:t>mAbs</w:t>
      </w:r>
      <w:proofErr w:type="spellEnd"/>
      <w:r w:rsidRPr="00256616">
        <w:rPr>
          <w:rFonts w:ascii="Times New Roman" w:eastAsia="Calibri" w:hAnsi="Times New Roman" w:cs="Times New Roman"/>
          <w:sz w:val="23"/>
          <w:szCs w:val="23"/>
          <w:lang w:val="en-US"/>
        </w:rPr>
        <w:t>) after a single SC dose in breeding pigs.</w:t>
      </w:r>
    </w:p>
    <w:p w:rsidR="00F2718F" w:rsidRPr="00256616" w:rsidRDefault="00F2718F" w:rsidP="00256616">
      <w:pPr>
        <w:spacing w:after="0" w:line="240" w:lineRule="auto"/>
        <w:jc w:val="both"/>
        <w:rPr>
          <w:rFonts w:ascii="Times New Roman" w:eastAsia="Calibri" w:hAnsi="Times New Roman" w:cs="Times New Roman"/>
          <w:sz w:val="23"/>
          <w:szCs w:val="23"/>
          <w:lang w:val="en-US"/>
        </w:rPr>
      </w:pPr>
    </w:p>
    <w:p w:rsidR="00F2718F" w:rsidRPr="00256616" w:rsidRDefault="00F2718F" w:rsidP="00256616">
      <w:pPr>
        <w:spacing w:after="0" w:line="240" w:lineRule="auto"/>
        <w:jc w:val="center"/>
        <w:rPr>
          <w:rFonts w:ascii="Times New Roman" w:eastAsia="Calibri" w:hAnsi="Times New Roman" w:cs="Times New Roman"/>
          <w:b/>
          <w:sz w:val="23"/>
          <w:szCs w:val="23"/>
          <w:lang w:val="en-US"/>
        </w:rPr>
      </w:pPr>
      <w:r w:rsidRPr="00256616">
        <w:rPr>
          <w:rFonts w:ascii="Times New Roman" w:eastAsia="Calibri" w:hAnsi="Times New Roman" w:cs="Times New Roman"/>
          <w:b/>
          <w:sz w:val="23"/>
          <w:szCs w:val="23"/>
          <w:lang w:val="en-US"/>
        </w:rPr>
        <w:t>MATERIALS AND METHODS</w:t>
      </w:r>
    </w:p>
    <w:p w:rsidR="00256616" w:rsidRPr="00256616" w:rsidRDefault="00F2718F" w:rsidP="00256616">
      <w:pPr>
        <w:spacing w:after="0" w:line="240" w:lineRule="auto"/>
        <w:ind w:firstLine="708"/>
        <w:jc w:val="both"/>
        <w:rPr>
          <w:rFonts w:ascii="Times New Roman" w:eastAsia="Calibri" w:hAnsi="Times New Roman" w:cs="Times New Roman"/>
          <w:sz w:val="23"/>
          <w:szCs w:val="23"/>
          <w:lang w:val="en-US"/>
        </w:rPr>
      </w:pPr>
      <w:r w:rsidRPr="00256616">
        <w:rPr>
          <w:rFonts w:ascii="Times New Roman" w:eastAsia="Calibri" w:hAnsi="Times New Roman" w:cs="Times New Roman"/>
          <w:sz w:val="23"/>
          <w:szCs w:val="23"/>
          <w:lang w:val="en-US"/>
        </w:rPr>
        <w:t xml:space="preserve">The subjects were 30 healthy female Large White piglets weighing between 15.0 to 20.0 kg aged 45±10 days. The water </w:t>
      </w:r>
      <w:r w:rsidRPr="00256616">
        <w:rPr>
          <w:rFonts w:ascii="Times New Roman" w:eastAsia="Calibri" w:hAnsi="Times New Roman" w:cs="Times New Roman"/>
          <w:i/>
          <w:sz w:val="23"/>
          <w:szCs w:val="23"/>
          <w:lang w:val="en-US"/>
        </w:rPr>
        <w:t>ad libitum</w:t>
      </w:r>
      <w:r w:rsidRPr="00256616">
        <w:rPr>
          <w:rFonts w:ascii="Times New Roman" w:eastAsia="Calibri" w:hAnsi="Times New Roman" w:cs="Times New Roman"/>
          <w:sz w:val="23"/>
          <w:szCs w:val="23"/>
          <w:lang w:val="en-US"/>
        </w:rPr>
        <w:t xml:space="preserve"> and food were available throughout the study. The animals were divided into 5 groups (n=6). Each group received a single dose of one of the tested drugs. The tested drugs included </w:t>
      </w:r>
      <w:proofErr w:type="spellStart"/>
      <w:r w:rsidRPr="00256616">
        <w:rPr>
          <w:rFonts w:ascii="Times New Roman" w:eastAsia="Calibri" w:hAnsi="Times New Roman" w:cs="Times New Roman"/>
          <w:sz w:val="23"/>
          <w:szCs w:val="23"/>
          <w:lang w:val="en-US"/>
        </w:rPr>
        <w:t>siltuximab</w:t>
      </w:r>
      <w:proofErr w:type="spellEnd"/>
      <w:r w:rsidRPr="00256616">
        <w:rPr>
          <w:rFonts w:ascii="Times New Roman" w:eastAsia="Calibri" w:hAnsi="Times New Roman" w:cs="Times New Roman"/>
          <w:sz w:val="23"/>
          <w:szCs w:val="23"/>
          <w:lang w:val="en-US"/>
        </w:rPr>
        <w:t xml:space="preserve"> (</w:t>
      </w:r>
      <w:proofErr w:type="spellStart"/>
      <w:r w:rsidRPr="00256616">
        <w:rPr>
          <w:rFonts w:ascii="Times New Roman" w:eastAsia="Calibri" w:hAnsi="Times New Roman" w:cs="Times New Roman"/>
          <w:sz w:val="23"/>
          <w:szCs w:val="23"/>
          <w:lang w:val="en-US"/>
        </w:rPr>
        <w:t>Sylvant</w:t>
      </w:r>
      <w:proofErr w:type="spellEnd"/>
      <w:r w:rsidRPr="00256616">
        <w:rPr>
          <w:rFonts w:ascii="Times New Roman" w:eastAsia="Calibri" w:hAnsi="Times New Roman" w:cs="Times New Roman"/>
          <w:sz w:val="23"/>
          <w:szCs w:val="23"/>
          <w:vertAlign w:val="superscript"/>
          <w:lang w:val="en-US"/>
        </w:rPr>
        <w:t>®</w:t>
      </w:r>
      <w:r w:rsidRPr="00256616">
        <w:rPr>
          <w:rFonts w:ascii="Times New Roman" w:eastAsia="Calibri" w:hAnsi="Times New Roman" w:cs="Times New Roman"/>
          <w:sz w:val="23"/>
          <w:szCs w:val="23"/>
          <w:lang w:val="en-US"/>
        </w:rPr>
        <w:t xml:space="preserve">), </w:t>
      </w:r>
      <w:proofErr w:type="spellStart"/>
      <w:r w:rsidRPr="00256616">
        <w:rPr>
          <w:rFonts w:ascii="Times New Roman" w:eastAsia="Calibri" w:hAnsi="Times New Roman" w:cs="Times New Roman"/>
          <w:sz w:val="23"/>
          <w:szCs w:val="23"/>
          <w:lang w:val="en-US"/>
        </w:rPr>
        <w:t>omalizumab</w:t>
      </w:r>
      <w:proofErr w:type="spellEnd"/>
      <w:r w:rsidRPr="00256616">
        <w:rPr>
          <w:rFonts w:ascii="Times New Roman" w:eastAsia="Calibri" w:hAnsi="Times New Roman" w:cs="Times New Roman"/>
          <w:sz w:val="23"/>
          <w:szCs w:val="23"/>
          <w:lang w:val="en-US"/>
        </w:rPr>
        <w:t xml:space="preserve"> (</w:t>
      </w:r>
      <w:proofErr w:type="spellStart"/>
      <w:r w:rsidRPr="00256616">
        <w:rPr>
          <w:rFonts w:ascii="Times New Roman" w:eastAsia="Calibri" w:hAnsi="Times New Roman" w:cs="Times New Roman"/>
          <w:sz w:val="23"/>
          <w:szCs w:val="23"/>
          <w:lang w:val="en-US"/>
        </w:rPr>
        <w:t>Xolair</w:t>
      </w:r>
      <w:proofErr w:type="spellEnd"/>
      <w:r w:rsidRPr="00256616">
        <w:rPr>
          <w:rFonts w:ascii="Times New Roman" w:eastAsia="Calibri" w:hAnsi="Times New Roman" w:cs="Times New Roman"/>
          <w:sz w:val="23"/>
          <w:szCs w:val="23"/>
          <w:vertAlign w:val="superscript"/>
          <w:lang w:val="en-US"/>
        </w:rPr>
        <w:t>®</w:t>
      </w:r>
      <w:r w:rsidRPr="00256616">
        <w:rPr>
          <w:rFonts w:ascii="Times New Roman" w:eastAsia="Calibri" w:hAnsi="Times New Roman" w:cs="Times New Roman"/>
          <w:sz w:val="23"/>
          <w:szCs w:val="23"/>
          <w:lang w:val="en-US"/>
        </w:rPr>
        <w:t>), infliximab (</w:t>
      </w:r>
      <w:proofErr w:type="spellStart"/>
      <w:r w:rsidRPr="00256616">
        <w:rPr>
          <w:rFonts w:ascii="Times New Roman" w:eastAsia="Calibri" w:hAnsi="Times New Roman" w:cs="Times New Roman"/>
          <w:sz w:val="23"/>
          <w:szCs w:val="23"/>
          <w:lang w:val="en-US"/>
        </w:rPr>
        <w:t>Inflectra</w:t>
      </w:r>
      <w:proofErr w:type="spellEnd"/>
      <w:r w:rsidRPr="00256616">
        <w:rPr>
          <w:rFonts w:ascii="Times New Roman" w:eastAsia="Calibri" w:hAnsi="Times New Roman" w:cs="Times New Roman"/>
          <w:sz w:val="23"/>
          <w:szCs w:val="23"/>
          <w:vertAlign w:val="superscript"/>
          <w:lang w:val="en-US"/>
        </w:rPr>
        <w:t>®</w:t>
      </w:r>
      <w:r w:rsidRPr="00256616">
        <w:rPr>
          <w:rFonts w:ascii="Times New Roman" w:eastAsia="Calibri" w:hAnsi="Times New Roman" w:cs="Times New Roman"/>
          <w:sz w:val="23"/>
          <w:szCs w:val="23"/>
          <w:lang w:val="en-US"/>
        </w:rPr>
        <w:t xml:space="preserve">), </w:t>
      </w:r>
      <w:proofErr w:type="spellStart"/>
      <w:r w:rsidRPr="00256616">
        <w:rPr>
          <w:rFonts w:ascii="Times New Roman" w:eastAsia="Calibri" w:hAnsi="Times New Roman" w:cs="Times New Roman"/>
          <w:sz w:val="23"/>
          <w:szCs w:val="23"/>
          <w:lang w:val="en-US"/>
        </w:rPr>
        <w:t>pembrolizumab</w:t>
      </w:r>
      <w:proofErr w:type="spellEnd"/>
      <w:r w:rsidRPr="00256616">
        <w:rPr>
          <w:rFonts w:ascii="Times New Roman" w:eastAsia="Calibri" w:hAnsi="Times New Roman" w:cs="Times New Roman"/>
          <w:sz w:val="23"/>
          <w:szCs w:val="23"/>
          <w:lang w:val="en-US"/>
        </w:rPr>
        <w:t xml:space="preserve"> (</w:t>
      </w:r>
      <w:proofErr w:type="spellStart"/>
      <w:r w:rsidRPr="00256616">
        <w:rPr>
          <w:rFonts w:ascii="Times New Roman" w:eastAsia="Calibri" w:hAnsi="Times New Roman" w:cs="Times New Roman"/>
          <w:sz w:val="23"/>
          <w:szCs w:val="23"/>
          <w:lang w:val="en-US"/>
        </w:rPr>
        <w:t>Keytruda</w:t>
      </w:r>
      <w:proofErr w:type="spellEnd"/>
      <w:r w:rsidRPr="00256616">
        <w:rPr>
          <w:rFonts w:ascii="Times New Roman" w:eastAsia="Calibri" w:hAnsi="Times New Roman" w:cs="Times New Roman"/>
          <w:sz w:val="23"/>
          <w:szCs w:val="23"/>
          <w:vertAlign w:val="superscript"/>
          <w:lang w:val="en-US"/>
        </w:rPr>
        <w:t>®</w:t>
      </w:r>
      <w:r w:rsidRPr="00256616">
        <w:rPr>
          <w:rFonts w:ascii="Times New Roman" w:eastAsia="Calibri" w:hAnsi="Times New Roman" w:cs="Times New Roman"/>
          <w:sz w:val="23"/>
          <w:szCs w:val="23"/>
          <w:lang w:val="en-US"/>
        </w:rPr>
        <w:t xml:space="preserve">), and </w:t>
      </w:r>
      <w:proofErr w:type="spellStart"/>
      <w:r w:rsidRPr="00256616">
        <w:rPr>
          <w:rFonts w:ascii="Times New Roman" w:eastAsia="Calibri" w:hAnsi="Times New Roman" w:cs="Times New Roman"/>
          <w:sz w:val="23"/>
          <w:szCs w:val="23"/>
          <w:lang w:val="en-US"/>
        </w:rPr>
        <w:t>vedolizumab</w:t>
      </w:r>
      <w:proofErr w:type="spellEnd"/>
      <w:r w:rsidRPr="00256616">
        <w:rPr>
          <w:rFonts w:ascii="Times New Roman" w:eastAsia="Calibri" w:hAnsi="Times New Roman" w:cs="Times New Roman"/>
          <w:sz w:val="23"/>
          <w:szCs w:val="23"/>
          <w:lang w:val="en-US"/>
        </w:rPr>
        <w:t xml:space="preserve"> (</w:t>
      </w:r>
      <w:proofErr w:type="spellStart"/>
      <w:r w:rsidRPr="00256616">
        <w:rPr>
          <w:rFonts w:ascii="Times New Roman" w:eastAsia="Calibri" w:hAnsi="Times New Roman" w:cs="Times New Roman"/>
          <w:sz w:val="23"/>
          <w:szCs w:val="23"/>
          <w:lang w:val="en-US"/>
        </w:rPr>
        <w:t>Entyvio</w:t>
      </w:r>
      <w:proofErr w:type="spellEnd"/>
      <w:r w:rsidRPr="00256616">
        <w:rPr>
          <w:rFonts w:ascii="Times New Roman" w:eastAsia="Calibri" w:hAnsi="Times New Roman" w:cs="Times New Roman"/>
          <w:sz w:val="23"/>
          <w:szCs w:val="23"/>
          <w:vertAlign w:val="superscript"/>
          <w:lang w:val="en-US"/>
        </w:rPr>
        <w:t>®</w:t>
      </w:r>
      <w:r w:rsidRPr="00256616">
        <w:rPr>
          <w:rFonts w:ascii="Times New Roman" w:eastAsia="Calibri" w:hAnsi="Times New Roman" w:cs="Times New Roman"/>
          <w:sz w:val="23"/>
          <w:szCs w:val="23"/>
          <w:lang w:val="en-US"/>
        </w:rPr>
        <w:t>) given in a single 1 mg/kg SC injection on the inguinal fold. Before (at time 0) and after drug administration, blood was sampled from the jugular vein (2 mL) at intervals of  1, 6, and 12 hours and 1, 2, 3, 4, 5, 6, 7, 9, 12, 15, 18, and 30 days after injection into heparinized tubes using a vacutainer (BD Vacutainer</w:t>
      </w:r>
      <w:r w:rsidRPr="00256616">
        <w:rPr>
          <w:rFonts w:ascii="Times New Roman" w:eastAsia="Calibri" w:hAnsi="Times New Roman" w:cs="Times New Roman"/>
          <w:sz w:val="23"/>
          <w:szCs w:val="23"/>
          <w:vertAlign w:val="superscript"/>
          <w:lang w:val="en-US"/>
        </w:rPr>
        <w:t>®</w:t>
      </w:r>
      <w:r w:rsidRPr="00256616">
        <w:rPr>
          <w:rFonts w:ascii="Times New Roman" w:eastAsia="Calibri" w:hAnsi="Times New Roman" w:cs="Times New Roman"/>
          <w:sz w:val="23"/>
          <w:szCs w:val="23"/>
          <w:lang w:val="en-US"/>
        </w:rPr>
        <w:t xml:space="preserve"> Safety-</w:t>
      </w:r>
      <w:proofErr w:type="spellStart"/>
      <w:r w:rsidRPr="00256616">
        <w:rPr>
          <w:rFonts w:ascii="Times New Roman" w:eastAsia="Calibri" w:hAnsi="Times New Roman" w:cs="Times New Roman"/>
          <w:sz w:val="23"/>
          <w:szCs w:val="23"/>
          <w:lang w:val="en-US"/>
        </w:rPr>
        <w:t>Lok</w:t>
      </w:r>
      <w:proofErr w:type="spellEnd"/>
    </w:p>
    <w:p w:rsidR="00F2718F" w:rsidRPr="00256616" w:rsidRDefault="00F2718F" w:rsidP="00256616">
      <w:pPr>
        <w:spacing w:after="0" w:line="240" w:lineRule="auto"/>
        <w:jc w:val="center"/>
        <w:rPr>
          <w:rFonts w:ascii="Times New Roman" w:eastAsia="Calibri" w:hAnsi="Times New Roman" w:cs="Times New Roman"/>
          <w:b/>
          <w:sz w:val="23"/>
          <w:szCs w:val="23"/>
          <w:lang w:val="en-US"/>
        </w:rPr>
      </w:pPr>
      <w:r w:rsidRPr="00256616">
        <w:rPr>
          <w:rFonts w:ascii="Times New Roman" w:eastAsia="Calibri" w:hAnsi="Times New Roman" w:cs="Times New Roman"/>
          <w:b/>
          <w:sz w:val="23"/>
          <w:szCs w:val="23"/>
          <w:lang w:val="en-US"/>
        </w:rPr>
        <w:t>RESULTS</w:t>
      </w:r>
    </w:p>
    <w:p w:rsidR="00F2718F" w:rsidRPr="00256616" w:rsidRDefault="00F2718F" w:rsidP="00256616">
      <w:pPr>
        <w:suppressAutoHyphens/>
        <w:spacing w:after="0" w:line="240" w:lineRule="auto"/>
        <w:ind w:firstLine="708"/>
        <w:jc w:val="both"/>
        <w:rPr>
          <w:rFonts w:ascii="Times New Roman" w:eastAsia="Calibri" w:hAnsi="Times New Roman" w:cs="Times New Roman"/>
          <w:b/>
          <w:sz w:val="23"/>
          <w:szCs w:val="23"/>
          <w:lang w:val="en-US"/>
        </w:rPr>
      </w:pPr>
      <w:r w:rsidRPr="00256616">
        <w:rPr>
          <w:rFonts w:ascii="Times New Roman" w:eastAsia="Times New Roman" w:hAnsi="Times New Roman" w:cs="Times New Roman"/>
          <w:color w:val="000000"/>
          <w:sz w:val="23"/>
          <w:szCs w:val="23"/>
          <w:lang w:val="en-US" w:eastAsia="ar-SA"/>
        </w:rPr>
        <w:t xml:space="preserve">The value of several blood parameters was calculated in the study. In </w:t>
      </w:r>
      <w:r w:rsidRPr="00256616">
        <w:rPr>
          <w:rFonts w:ascii="Times New Roman" w:eastAsia="Calibri" w:hAnsi="Times New Roman" w:cs="Times New Roman"/>
          <w:sz w:val="23"/>
          <w:szCs w:val="23"/>
          <w:lang w:val="en-US"/>
        </w:rPr>
        <w:t xml:space="preserve">the </w:t>
      </w:r>
      <w:r w:rsidRPr="00256616">
        <w:rPr>
          <w:rFonts w:ascii="Times New Roman" w:eastAsia="Times New Roman" w:hAnsi="Times New Roman" w:cs="Times New Roman"/>
          <w:color w:val="000000"/>
          <w:sz w:val="23"/>
          <w:szCs w:val="23"/>
          <w:lang w:val="en-US" w:eastAsia="ar-SA"/>
        </w:rPr>
        <w:t xml:space="preserve">case of all </w:t>
      </w:r>
      <w:r w:rsidRPr="00256616">
        <w:rPr>
          <w:rFonts w:ascii="Times New Roman" w:eastAsia="Calibri" w:hAnsi="Times New Roman" w:cs="Times New Roman"/>
          <w:sz w:val="23"/>
          <w:szCs w:val="23"/>
          <w:lang w:val="en-US"/>
        </w:rPr>
        <w:t xml:space="preserve">the </w:t>
      </w:r>
      <w:r w:rsidRPr="00256616">
        <w:rPr>
          <w:rFonts w:ascii="Times New Roman" w:eastAsia="Times New Roman" w:hAnsi="Times New Roman" w:cs="Times New Roman"/>
          <w:color w:val="000000"/>
          <w:sz w:val="23"/>
          <w:szCs w:val="23"/>
          <w:lang w:val="en-US" w:eastAsia="ar-SA"/>
        </w:rPr>
        <w:t>studied drugs, there was no difference (</w:t>
      </w:r>
      <w:r w:rsidRPr="00256616">
        <w:rPr>
          <w:rFonts w:ascii="Times New Roman" w:eastAsia="Times New Roman" w:hAnsi="Times New Roman" w:cs="Times New Roman"/>
          <w:i/>
          <w:color w:val="000000"/>
          <w:sz w:val="23"/>
          <w:szCs w:val="23"/>
          <w:lang w:val="en-US" w:eastAsia="ar-SA"/>
        </w:rPr>
        <w:t>p</w:t>
      </w:r>
      <w:r w:rsidRPr="00256616">
        <w:rPr>
          <w:rFonts w:ascii="Times New Roman" w:eastAsia="Times New Roman" w:hAnsi="Times New Roman" w:cs="Times New Roman"/>
          <w:color w:val="000000"/>
          <w:sz w:val="23"/>
          <w:szCs w:val="23"/>
          <w:lang w:val="en-US" w:eastAsia="ar-SA"/>
        </w:rPr>
        <w:t xml:space="preserve">&gt;0.05) between </w:t>
      </w:r>
      <w:r w:rsidRPr="00256616">
        <w:rPr>
          <w:rFonts w:ascii="Times New Roman" w:eastAsia="Calibri" w:hAnsi="Times New Roman" w:cs="Times New Roman"/>
          <w:sz w:val="23"/>
          <w:szCs w:val="23"/>
          <w:lang w:val="en-US"/>
        </w:rPr>
        <w:t xml:space="preserve">the </w:t>
      </w:r>
      <w:r w:rsidRPr="00256616">
        <w:rPr>
          <w:rFonts w:ascii="Times New Roman" w:eastAsia="Times New Roman" w:hAnsi="Times New Roman" w:cs="Times New Roman"/>
          <w:color w:val="000000"/>
          <w:sz w:val="23"/>
          <w:szCs w:val="23"/>
          <w:lang w:val="en-US" w:eastAsia="ar-SA"/>
        </w:rPr>
        <w:t xml:space="preserve">baseline and the time-point at 3 weeks after drug administration (B versus A) in </w:t>
      </w:r>
      <w:r w:rsidRPr="00256616">
        <w:rPr>
          <w:rFonts w:ascii="Times New Roman" w:eastAsia="Calibri" w:hAnsi="Times New Roman" w:cs="Times New Roman"/>
          <w:sz w:val="23"/>
          <w:szCs w:val="23"/>
          <w:lang w:val="en-US"/>
        </w:rPr>
        <w:t xml:space="preserve">the </w:t>
      </w:r>
      <w:r w:rsidRPr="00256616">
        <w:rPr>
          <w:rFonts w:ascii="Times New Roman" w:eastAsia="Times New Roman" w:hAnsi="Times New Roman" w:cs="Times New Roman"/>
          <w:color w:val="000000"/>
          <w:sz w:val="23"/>
          <w:szCs w:val="23"/>
          <w:lang w:val="en-US" w:eastAsia="ar-SA"/>
        </w:rPr>
        <w:t>case</w:t>
      </w:r>
      <w:r w:rsidRPr="00256616">
        <w:rPr>
          <w:rFonts w:ascii="Times New Roman" w:eastAsia="Calibri" w:hAnsi="Times New Roman" w:cs="Times New Roman"/>
          <w:sz w:val="23"/>
          <w:szCs w:val="23"/>
          <w:lang w:val="en-US"/>
        </w:rPr>
        <w:t xml:space="preserve"> of</w:t>
      </w:r>
      <w:r w:rsidRPr="00256616">
        <w:rPr>
          <w:rFonts w:ascii="Times New Roman" w:eastAsia="Times New Roman" w:hAnsi="Times New Roman" w:cs="Times New Roman"/>
          <w:color w:val="000000"/>
          <w:sz w:val="23"/>
          <w:szCs w:val="23"/>
          <w:lang w:val="en-US" w:eastAsia="ar-SA"/>
        </w:rPr>
        <w:t xml:space="preserve"> bilirubin, phosphorus, RBC, HCT%, HGB, MCV, MCH, MCHC, </w:t>
      </w:r>
      <w:r w:rsidRPr="00256616">
        <w:rPr>
          <w:rFonts w:ascii="Times New Roman" w:eastAsia="Calibri" w:hAnsi="Times New Roman" w:cs="Times New Roman"/>
          <w:sz w:val="23"/>
          <w:szCs w:val="23"/>
          <w:lang w:val="en-US"/>
        </w:rPr>
        <w:t xml:space="preserve">and </w:t>
      </w:r>
      <w:proofErr w:type="spellStart"/>
      <w:r w:rsidRPr="00256616">
        <w:rPr>
          <w:rFonts w:ascii="Times New Roman" w:eastAsia="Times New Roman" w:hAnsi="Times New Roman" w:cs="Times New Roman"/>
          <w:color w:val="000000"/>
          <w:sz w:val="23"/>
          <w:szCs w:val="23"/>
          <w:lang w:val="en-US" w:eastAsia="ar-SA"/>
        </w:rPr>
        <w:t>RDWa</w:t>
      </w:r>
      <w:proofErr w:type="spellEnd"/>
      <w:r w:rsidRPr="00256616">
        <w:rPr>
          <w:rFonts w:ascii="Times New Roman" w:eastAsia="Times New Roman" w:hAnsi="Times New Roman" w:cs="Times New Roman"/>
          <w:color w:val="000000"/>
          <w:sz w:val="23"/>
          <w:szCs w:val="23"/>
          <w:lang w:val="en-US" w:eastAsia="ar-SA"/>
        </w:rPr>
        <w:t xml:space="preserve"> levels. Each of the tested drugs exerted a significant effect on at least two of the tested parameters three weeks after </w:t>
      </w:r>
      <w:r w:rsidRPr="00256616">
        <w:rPr>
          <w:rFonts w:ascii="Times New Roman" w:eastAsia="Calibri" w:hAnsi="Times New Roman" w:cs="Times New Roman"/>
          <w:sz w:val="23"/>
          <w:szCs w:val="23"/>
          <w:lang w:val="en-US"/>
        </w:rPr>
        <w:t xml:space="preserve">the </w:t>
      </w:r>
      <w:r w:rsidRPr="00256616">
        <w:rPr>
          <w:rFonts w:ascii="Times New Roman" w:eastAsia="Times New Roman" w:hAnsi="Times New Roman" w:cs="Times New Roman"/>
          <w:color w:val="000000"/>
          <w:sz w:val="23"/>
          <w:szCs w:val="23"/>
          <w:lang w:val="en-US" w:eastAsia="ar-SA"/>
        </w:rPr>
        <w:t xml:space="preserve">administration. </w:t>
      </w:r>
      <w:proofErr w:type="spellStart"/>
      <w:r w:rsidRPr="00256616">
        <w:rPr>
          <w:rFonts w:ascii="Times New Roman" w:eastAsia="Times New Roman" w:hAnsi="Times New Roman" w:cs="Times New Roman"/>
          <w:color w:val="000000"/>
          <w:sz w:val="23"/>
          <w:szCs w:val="23"/>
          <w:lang w:val="en-US" w:eastAsia="ar-SA"/>
        </w:rPr>
        <w:t>Siltuximab</w:t>
      </w:r>
      <w:proofErr w:type="spellEnd"/>
      <w:r w:rsidRPr="00256616">
        <w:rPr>
          <w:rFonts w:ascii="Times New Roman" w:eastAsia="Times New Roman" w:hAnsi="Times New Roman" w:cs="Times New Roman"/>
          <w:color w:val="000000"/>
          <w:sz w:val="23"/>
          <w:szCs w:val="23"/>
          <w:lang w:val="en-US" w:eastAsia="ar-SA"/>
        </w:rPr>
        <w:t xml:space="preserve"> and </w:t>
      </w:r>
      <w:proofErr w:type="spellStart"/>
      <w:r w:rsidRPr="00256616">
        <w:rPr>
          <w:rFonts w:ascii="Times New Roman" w:eastAsia="Times New Roman" w:hAnsi="Times New Roman" w:cs="Times New Roman"/>
          <w:color w:val="000000"/>
          <w:sz w:val="23"/>
          <w:szCs w:val="23"/>
          <w:lang w:val="en-US" w:eastAsia="ar-SA"/>
        </w:rPr>
        <w:t>vedolizumab</w:t>
      </w:r>
      <w:proofErr w:type="spellEnd"/>
      <w:r w:rsidRPr="00256616">
        <w:rPr>
          <w:rFonts w:ascii="Times New Roman" w:eastAsia="Times New Roman" w:hAnsi="Times New Roman" w:cs="Times New Roman"/>
          <w:color w:val="000000"/>
          <w:sz w:val="23"/>
          <w:szCs w:val="23"/>
          <w:lang w:val="en-US" w:eastAsia="ar-SA"/>
        </w:rPr>
        <w:t xml:space="preserve"> significantly influenced the largest number (both n=9) of </w:t>
      </w:r>
      <w:r w:rsidRPr="00256616">
        <w:rPr>
          <w:rFonts w:ascii="Times New Roman" w:eastAsia="Calibri" w:hAnsi="Times New Roman" w:cs="Times New Roman"/>
          <w:sz w:val="23"/>
          <w:szCs w:val="23"/>
          <w:lang w:val="en-US"/>
        </w:rPr>
        <w:t xml:space="preserve">the </w:t>
      </w:r>
      <w:r w:rsidRPr="00256616">
        <w:rPr>
          <w:rFonts w:ascii="Times New Roman" w:eastAsia="Times New Roman" w:hAnsi="Times New Roman" w:cs="Times New Roman"/>
          <w:color w:val="000000"/>
          <w:sz w:val="23"/>
          <w:szCs w:val="23"/>
          <w:lang w:val="en-US" w:eastAsia="ar-SA"/>
        </w:rPr>
        <w:t xml:space="preserve">analyzed parameters. Infliximab had the lowest impact of all the tested drugs, as it significantly influenced only two </w:t>
      </w:r>
      <w:r w:rsidRPr="00256616">
        <w:rPr>
          <w:rFonts w:ascii="Times New Roman" w:eastAsia="Calibri" w:hAnsi="Times New Roman" w:cs="Times New Roman"/>
          <w:sz w:val="23"/>
          <w:szCs w:val="23"/>
          <w:lang w:val="en-US"/>
        </w:rPr>
        <w:t xml:space="preserve">of the </w:t>
      </w:r>
      <w:r w:rsidRPr="00256616">
        <w:rPr>
          <w:rFonts w:ascii="Times New Roman" w:eastAsia="Times New Roman" w:hAnsi="Times New Roman" w:cs="Times New Roman"/>
          <w:color w:val="000000"/>
          <w:sz w:val="23"/>
          <w:szCs w:val="23"/>
          <w:lang w:val="en-US" w:eastAsia="ar-SA"/>
        </w:rPr>
        <w:t xml:space="preserve">analyzed parameters. RSD% was higher in period A than in period B more than 2 fold in </w:t>
      </w:r>
      <w:r w:rsidRPr="00256616">
        <w:rPr>
          <w:rFonts w:ascii="Times New Roman" w:eastAsia="Calibri" w:hAnsi="Times New Roman" w:cs="Times New Roman"/>
          <w:sz w:val="23"/>
          <w:szCs w:val="23"/>
          <w:lang w:val="en-US"/>
        </w:rPr>
        <w:t xml:space="preserve">the </w:t>
      </w:r>
      <w:r w:rsidRPr="00256616">
        <w:rPr>
          <w:rFonts w:ascii="Times New Roman" w:eastAsia="Times New Roman" w:hAnsi="Times New Roman" w:cs="Times New Roman"/>
          <w:color w:val="000000"/>
          <w:sz w:val="23"/>
          <w:szCs w:val="23"/>
          <w:lang w:val="en-US" w:eastAsia="ar-SA"/>
        </w:rPr>
        <w:t xml:space="preserve">case of 22.61%, more than 3 fold in </w:t>
      </w:r>
      <w:r w:rsidRPr="00256616">
        <w:rPr>
          <w:rFonts w:ascii="Times New Roman" w:eastAsia="Calibri" w:hAnsi="Times New Roman" w:cs="Times New Roman"/>
          <w:sz w:val="23"/>
          <w:szCs w:val="23"/>
          <w:lang w:val="en-US"/>
        </w:rPr>
        <w:t xml:space="preserve">the </w:t>
      </w:r>
      <w:r w:rsidRPr="00256616">
        <w:rPr>
          <w:rFonts w:ascii="Times New Roman" w:eastAsia="Times New Roman" w:hAnsi="Times New Roman" w:cs="Times New Roman"/>
          <w:color w:val="000000"/>
          <w:sz w:val="23"/>
          <w:szCs w:val="23"/>
          <w:lang w:val="en-US" w:eastAsia="ar-SA"/>
        </w:rPr>
        <w:t xml:space="preserve">case of 13.04%, and more that 4 fold in </w:t>
      </w:r>
      <w:r w:rsidRPr="00256616">
        <w:rPr>
          <w:rFonts w:ascii="Times New Roman" w:eastAsia="Calibri" w:hAnsi="Times New Roman" w:cs="Times New Roman"/>
          <w:sz w:val="23"/>
          <w:szCs w:val="23"/>
          <w:lang w:val="en-US"/>
        </w:rPr>
        <w:t xml:space="preserve">the </w:t>
      </w:r>
      <w:r w:rsidRPr="00256616">
        <w:rPr>
          <w:rFonts w:ascii="Times New Roman" w:eastAsia="Times New Roman" w:hAnsi="Times New Roman" w:cs="Times New Roman"/>
          <w:color w:val="000000"/>
          <w:sz w:val="23"/>
          <w:szCs w:val="23"/>
          <w:lang w:val="en-US" w:eastAsia="ar-SA"/>
        </w:rPr>
        <w:t>case 10.43%</w:t>
      </w:r>
      <w:r w:rsidRPr="00256616">
        <w:rPr>
          <w:rFonts w:ascii="Times New Roman" w:eastAsia="Calibri" w:hAnsi="Times New Roman" w:cs="Times New Roman"/>
          <w:sz w:val="23"/>
          <w:szCs w:val="23"/>
          <w:lang w:val="en-US"/>
        </w:rPr>
        <w:t xml:space="preserve"> of the</w:t>
      </w:r>
      <w:r w:rsidRPr="00256616">
        <w:rPr>
          <w:rFonts w:ascii="Times New Roman" w:eastAsia="Times New Roman" w:hAnsi="Times New Roman" w:cs="Times New Roman"/>
          <w:color w:val="000000"/>
          <w:sz w:val="23"/>
          <w:szCs w:val="23"/>
          <w:lang w:val="en-US" w:eastAsia="ar-SA"/>
        </w:rPr>
        <w:t xml:space="preserve"> performed analyses. </w:t>
      </w:r>
    </w:p>
    <w:p w:rsidR="002A5944" w:rsidRPr="00256616" w:rsidRDefault="00F2718F" w:rsidP="00256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3"/>
          <w:szCs w:val="23"/>
          <w:lang w:val="en-US"/>
        </w:rPr>
      </w:pPr>
      <w:r w:rsidRPr="00256616">
        <w:rPr>
          <w:rFonts w:ascii="Times New Roman" w:eastAsia="Times New Roman" w:hAnsi="Times New Roman" w:cs="Times New Roman"/>
          <w:color w:val="000000"/>
          <w:sz w:val="23"/>
          <w:szCs w:val="23"/>
          <w:lang w:val="en-US"/>
        </w:rPr>
        <w:tab/>
      </w:r>
    </w:p>
    <w:sectPr w:rsidR="002A5944" w:rsidRPr="00256616" w:rsidSect="00256616">
      <w:pgSz w:w="11906" w:h="16838"/>
      <w:pgMar w:top="426" w:right="1417"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F97918"/>
    <w:multiLevelType w:val="hybridMultilevel"/>
    <w:tmpl w:val="D1B83528"/>
    <w:lvl w:ilvl="0" w:tplc="37B44F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18F"/>
    <w:rsid w:val="00130C07"/>
    <w:rsid w:val="00256616"/>
    <w:rsid w:val="002A5944"/>
    <w:rsid w:val="003247EC"/>
    <w:rsid w:val="004B69BC"/>
    <w:rsid w:val="00F271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B6DDF"/>
  <w15:chartTrackingRefBased/>
  <w15:docId w15:val="{A3402C49-3140-4DA5-BB22-6D0BB70EE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Bezlisty1">
    <w:name w:val="Bez listy1"/>
    <w:next w:val="Bezlisty"/>
    <w:uiPriority w:val="99"/>
    <w:semiHidden/>
    <w:unhideWhenUsed/>
    <w:rsid w:val="00F2718F"/>
  </w:style>
  <w:style w:type="paragraph" w:styleId="HTML-wstpniesformatowany">
    <w:name w:val="HTML Preformatted"/>
    <w:basedOn w:val="Normalny"/>
    <w:link w:val="HTML-wstpniesformatowanyZnak"/>
    <w:uiPriority w:val="99"/>
    <w:semiHidden/>
    <w:unhideWhenUsed/>
    <w:rsid w:val="00F27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wstpniesformatowanyZnak">
    <w:name w:val="HTML - wstępnie sformatowany Znak"/>
    <w:basedOn w:val="Domylnaczcionkaakapitu"/>
    <w:link w:val="HTML-wstpniesformatowany"/>
    <w:uiPriority w:val="99"/>
    <w:semiHidden/>
    <w:rsid w:val="00F2718F"/>
    <w:rPr>
      <w:rFonts w:ascii="Courier New" w:eastAsia="Times New Roman" w:hAnsi="Courier New" w:cs="Courier New"/>
      <w:sz w:val="20"/>
      <w:szCs w:val="20"/>
      <w:lang w:val="en-US"/>
    </w:rPr>
  </w:style>
  <w:style w:type="paragraph" w:styleId="Akapitzlist">
    <w:name w:val="List Paragraph"/>
    <w:basedOn w:val="Normalny"/>
    <w:uiPriority w:val="34"/>
    <w:qFormat/>
    <w:rsid w:val="00F2718F"/>
    <w:pPr>
      <w:ind w:left="720"/>
      <w:contextualSpacing/>
    </w:pPr>
    <w:rPr>
      <w:rFonts w:ascii="Calibri" w:eastAsia="Calibri" w:hAnsi="Calibri" w:cs="Times New Roman"/>
      <w:lang w:val="en-US"/>
    </w:rPr>
  </w:style>
  <w:style w:type="paragraph" w:customStyle="1" w:styleId="EndNoteBibliographyTitle">
    <w:name w:val="EndNote Bibliography Title"/>
    <w:basedOn w:val="Normalny"/>
    <w:link w:val="EndNoteBibliographyTitleZnak"/>
    <w:rsid w:val="00F2718F"/>
    <w:pPr>
      <w:spacing w:after="0"/>
      <w:jc w:val="center"/>
    </w:pPr>
    <w:rPr>
      <w:rFonts w:ascii="Calibri" w:eastAsia="Calibri" w:hAnsi="Calibri" w:cs="Calibri"/>
      <w:noProof/>
      <w:lang w:val="en-US"/>
    </w:rPr>
  </w:style>
  <w:style w:type="character" w:customStyle="1" w:styleId="EndNoteBibliographyTitleZnak">
    <w:name w:val="EndNote Bibliography Title Znak"/>
    <w:link w:val="EndNoteBibliographyTitle"/>
    <w:rsid w:val="00F2718F"/>
    <w:rPr>
      <w:rFonts w:ascii="Calibri" w:eastAsia="Calibri" w:hAnsi="Calibri" w:cs="Calibri"/>
      <w:noProof/>
      <w:lang w:val="en-US"/>
    </w:rPr>
  </w:style>
  <w:style w:type="paragraph" w:customStyle="1" w:styleId="EndNoteBibliography">
    <w:name w:val="EndNote Bibliography"/>
    <w:basedOn w:val="Normalny"/>
    <w:link w:val="EndNoteBibliographyZnak"/>
    <w:rsid w:val="00F2718F"/>
    <w:pPr>
      <w:spacing w:line="240" w:lineRule="auto"/>
    </w:pPr>
    <w:rPr>
      <w:rFonts w:ascii="Calibri" w:eastAsia="Calibri" w:hAnsi="Calibri" w:cs="Calibri"/>
      <w:noProof/>
      <w:lang w:val="en-US"/>
    </w:rPr>
  </w:style>
  <w:style w:type="character" w:customStyle="1" w:styleId="EndNoteBibliographyZnak">
    <w:name w:val="EndNote Bibliography Znak"/>
    <w:link w:val="EndNoteBibliography"/>
    <w:rsid w:val="00F2718F"/>
    <w:rPr>
      <w:rFonts w:ascii="Calibri" w:eastAsia="Calibri" w:hAnsi="Calibri" w:cs="Calibri"/>
      <w:noProof/>
      <w:lang w:val="en-US"/>
    </w:rPr>
  </w:style>
  <w:style w:type="paragraph" w:styleId="NormalnyWeb">
    <w:name w:val="Normal (Web)"/>
    <w:basedOn w:val="Normalny"/>
    <w:uiPriority w:val="99"/>
    <w:semiHidden/>
    <w:rsid w:val="00F2718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ekstdymka">
    <w:name w:val="Balloon Text"/>
    <w:basedOn w:val="Normalny"/>
    <w:link w:val="TekstdymkaZnak"/>
    <w:uiPriority w:val="99"/>
    <w:semiHidden/>
    <w:unhideWhenUsed/>
    <w:rsid w:val="00F2718F"/>
    <w:pPr>
      <w:spacing w:after="0" w:line="240" w:lineRule="auto"/>
    </w:pPr>
    <w:rPr>
      <w:rFonts w:ascii="Times New Roman" w:eastAsia="Calibri" w:hAnsi="Times New Roman" w:cs="Times New Roman"/>
      <w:sz w:val="18"/>
      <w:szCs w:val="18"/>
      <w:lang w:val="en-US"/>
    </w:rPr>
  </w:style>
  <w:style w:type="character" w:customStyle="1" w:styleId="TekstdymkaZnak">
    <w:name w:val="Tekst dymka Znak"/>
    <w:basedOn w:val="Domylnaczcionkaakapitu"/>
    <w:link w:val="Tekstdymka"/>
    <w:uiPriority w:val="99"/>
    <w:semiHidden/>
    <w:rsid w:val="00F2718F"/>
    <w:rPr>
      <w:rFonts w:ascii="Times New Roman" w:eastAsia="Calibri" w:hAnsi="Times New Roman" w:cs="Times New Roman"/>
      <w:sz w:val="18"/>
      <w:szCs w:val="18"/>
      <w:lang w:val="en-US"/>
    </w:rPr>
  </w:style>
  <w:style w:type="character" w:styleId="Odwoaniedokomentarza">
    <w:name w:val="annotation reference"/>
    <w:uiPriority w:val="99"/>
    <w:semiHidden/>
    <w:unhideWhenUsed/>
    <w:rsid w:val="00F2718F"/>
    <w:rPr>
      <w:sz w:val="16"/>
      <w:szCs w:val="16"/>
    </w:rPr>
  </w:style>
  <w:style w:type="paragraph" w:styleId="Tekstkomentarza">
    <w:name w:val="annotation text"/>
    <w:basedOn w:val="Normalny"/>
    <w:link w:val="TekstkomentarzaZnak"/>
    <w:uiPriority w:val="99"/>
    <w:semiHidden/>
    <w:unhideWhenUsed/>
    <w:rsid w:val="00F2718F"/>
    <w:pPr>
      <w:spacing w:line="240" w:lineRule="auto"/>
    </w:pPr>
    <w:rPr>
      <w:rFonts w:ascii="Calibri" w:eastAsia="Calibri" w:hAnsi="Calibri" w:cs="Times New Roman"/>
      <w:sz w:val="20"/>
      <w:szCs w:val="20"/>
      <w:lang w:val="en-US"/>
    </w:rPr>
  </w:style>
  <w:style w:type="character" w:customStyle="1" w:styleId="TekstkomentarzaZnak">
    <w:name w:val="Tekst komentarza Znak"/>
    <w:basedOn w:val="Domylnaczcionkaakapitu"/>
    <w:link w:val="Tekstkomentarza"/>
    <w:uiPriority w:val="99"/>
    <w:semiHidden/>
    <w:rsid w:val="00F2718F"/>
    <w:rPr>
      <w:rFonts w:ascii="Calibri" w:eastAsia="Calibri" w:hAnsi="Calibri" w:cs="Times New Roman"/>
      <w:sz w:val="20"/>
      <w:szCs w:val="20"/>
      <w:lang w:val="en-US"/>
    </w:rPr>
  </w:style>
  <w:style w:type="paragraph" w:styleId="Tematkomentarza">
    <w:name w:val="annotation subject"/>
    <w:basedOn w:val="Tekstkomentarza"/>
    <w:next w:val="Tekstkomentarza"/>
    <w:link w:val="TematkomentarzaZnak"/>
    <w:uiPriority w:val="99"/>
    <w:semiHidden/>
    <w:unhideWhenUsed/>
    <w:rsid w:val="00F2718F"/>
    <w:rPr>
      <w:b/>
      <w:bCs/>
    </w:rPr>
  </w:style>
  <w:style w:type="character" w:customStyle="1" w:styleId="TematkomentarzaZnak">
    <w:name w:val="Temat komentarza Znak"/>
    <w:basedOn w:val="TekstkomentarzaZnak"/>
    <w:link w:val="Tematkomentarza"/>
    <w:uiPriority w:val="99"/>
    <w:semiHidden/>
    <w:rsid w:val="00F2718F"/>
    <w:rPr>
      <w:rFonts w:ascii="Calibri" w:eastAsia="Calibri" w:hAnsi="Calibri" w:cs="Times New Roman"/>
      <w:b/>
      <w:bCs/>
      <w:sz w:val="20"/>
      <w:szCs w:val="20"/>
      <w:lang w:val="en-US"/>
    </w:rPr>
  </w:style>
  <w:style w:type="character" w:styleId="Hipercze">
    <w:name w:val="Hyperlink"/>
    <w:uiPriority w:val="99"/>
    <w:unhideWhenUsed/>
    <w:rsid w:val="00F2718F"/>
    <w:rPr>
      <w:color w:val="0000FF"/>
      <w:u w:val="single"/>
    </w:rPr>
  </w:style>
  <w:style w:type="character" w:customStyle="1" w:styleId="Nierozpoznanawzmianka1">
    <w:name w:val="Nierozpoznana wzmianka1"/>
    <w:uiPriority w:val="99"/>
    <w:semiHidden/>
    <w:unhideWhenUsed/>
    <w:rsid w:val="00F2718F"/>
    <w:rPr>
      <w:color w:val="605E5C"/>
      <w:shd w:val="clear" w:color="auto" w:fill="E1DFDD"/>
    </w:rPr>
  </w:style>
  <w:style w:type="character" w:styleId="UyteHipercze">
    <w:name w:val="FollowedHyperlink"/>
    <w:uiPriority w:val="99"/>
    <w:semiHidden/>
    <w:unhideWhenUsed/>
    <w:rsid w:val="00F2718F"/>
    <w:rPr>
      <w:color w:val="954F72"/>
      <w:u w:val="single"/>
    </w:rPr>
  </w:style>
  <w:style w:type="paragraph" w:styleId="Poprawka">
    <w:name w:val="Revision"/>
    <w:hidden/>
    <w:uiPriority w:val="99"/>
    <w:semiHidden/>
    <w:rsid w:val="00F2718F"/>
    <w:pPr>
      <w:spacing w:after="0" w:line="240" w:lineRule="auto"/>
    </w:pPr>
    <w:rPr>
      <w:rFonts w:ascii="Calibri" w:eastAsia="Calibri" w:hAnsi="Calibri" w:cs="Times New Roman"/>
      <w:lang w:val="en-US"/>
    </w:rPr>
  </w:style>
  <w:style w:type="paragraph" w:styleId="Nagwek">
    <w:name w:val="header"/>
    <w:basedOn w:val="Normalny"/>
    <w:link w:val="NagwekZnak"/>
    <w:uiPriority w:val="99"/>
    <w:unhideWhenUsed/>
    <w:rsid w:val="00F2718F"/>
    <w:pPr>
      <w:tabs>
        <w:tab w:val="center" w:pos="4703"/>
        <w:tab w:val="right" w:pos="9406"/>
      </w:tabs>
      <w:spacing w:after="0" w:line="240" w:lineRule="auto"/>
    </w:pPr>
    <w:rPr>
      <w:rFonts w:ascii="Calibri" w:eastAsia="Calibri" w:hAnsi="Calibri" w:cs="Times New Roman"/>
      <w:lang w:val="en-US"/>
    </w:rPr>
  </w:style>
  <w:style w:type="character" w:customStyle="1" w:styleId="NagwekZnak">
    <w:name w:val="Nagłówek Znak"/>
    <w:basedOn w:val="Domylnaczcionkaakapitu"/>
    <w:link w:val="Nagwek"/>
    <w:uiPriority w:val="99"/>
    <w:rsid w:val="00F2718F"/>
    <w:rPr>
      <w:rFonts w:ascii="Calibri" w:eastAsia="Calibri" w:hAnsi="Calibri" w:cs="Times New Roman"/>
      <w:lang w:val="en-US"/>
    </w:rPr>
  </w:style>
  <w:style w:type="paragraph" w:styleId="Stopka">
    <w:name w:val="footer"/>
    <w:basedOn w:val="Normalny"/>
    <w:link w:val="StopkaZnak"/>
    <w:uiPriority w:val="99"/>
    <w:unhideWhenUsed/>
    <w:rsid w:val="00F2718F"/>
    <w:pPr>
      <w:tabs>
        <w:tab w:val="center" w:pos="4703"/>
        <w:tab w:val="right" w:pos="9406"/>
      </w:tabs>
      <w:spacing w:after="0" w:line="240" w:lineRule="auto"/>
    </w:pPr>
    <w:rPr>
      <w:rFonts w:ascii="Calibri" w:eastAsia="Calibri" w:hAnsi="Calibri" w:cs="Times New Roman"/>
      <w:lang w:val="en-US"/>
    </w:rPr>
  </w:style>
  <w:style w:type="character" w:customStyle="1" w:styleId="StopkaZnak">
    <w:name w:val="Stopka Znak"/>
    <w:basedOn w:val="Domylnaczcionkaakapitu"/>
    <w:link w:val="Stopka"/>
    <w:uiPriority w:val="99"/>
    <w:rsid w:val="00F2718F"/>
    <w:rPr>
      <w:rFonts w:ascii="Calibri" w:eastAsia="Calibri" w:hAnsi="Calibri" w:cs="Times New Roman"/>
      <w:lang w:val="en-US"/>
    </w:rPr>
  </w:style>
  <w:style w:type="character" w:customStyle="1" w:styleId="Nierozpoznanawzmianka2">
    <w:name w:val="Nierozpoznana wzmianka2"/>
    <w:uiPriority w:val="99"/>
    <w:semiHidden/>
    <w:unhideWhenUsed/>
    <w:rsid w:val="00F2718F"/>
    <w:rPr>
      <w:color w:val="605E5C"/>
      <w:shd w:val="clear" w:color="auto" w:fill="E1DFDD"/>
    </w:rPr>
  </w:style>
  <w:style w:type="table" w:styleId="Tabela-Siatka">
    <w:name w:val="Table Grid"/>
    <w:basedOn w:val="Standardowy"/>
    <w:uiPriority w:val="39"/>
    <w:rsid w:val="00F2718F"/>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
    <w:name w:val="Nierozpoznana wzmianka"/>
    <w:uiPriority w:val="99"/>
    <w:semiHidden/>
    <w:unhideWhenUsed/>
    <w:rsid w:val="00F271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613</Words>
  <Characters>3680</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2019-07-01T10:12:00Z</dcterms:created>
  <dcterms:modified xsi:type="dcterms:W3CDTF">2019-07-01T10:30:00Z</dcterms:modified>
</cp:coreProperties>
</file>