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6B8C" w:rsidRPr="00166B8C" w:rsidRDefault="00166B8C" w:rsidP="00166B8C">
      <w:pPr>
        <w:widowControl/>
        <w:spacing w:after="200" w:line="276" w:lineRule="auto"/>
        <w:jc w:val="center"/>
        <w:rPr>
          <w:rFonts w:ascii="Times New Roman" w:eastAsia="Calibri" w:hAnsi="Times New Roman" w:cs="Times New Roman"/>
          <w:sz w:val="28"/>
          <w:szCs w:val="28"/>
        </w:rPr>
      </w:pPr>
      <w:bookmarkStart w:id="0" w:name="_GoBack"/>
      <w:r w:rsidRPr="00166B8C">
        <w:rPr>
          <w:rFonts w:ascii="Times New Roman" w:eastAsia="Calibri" w:hAnsi="Times New Roman" w:cs="Times New Roman"/>
          <w:b/>
          <w:bCs/>
          <w:sz w:val="28"/>
          <w:szCs w:val="28"/>
        </w:rPr>
        <w:t>Effect of coriander (</w:t>
      </w:r>
      <w:proofErr w:type="spellStart"/>
      <w:r w:rsidRPr="00166B8C">
        <w:rPr>
          <w:rFonts w:ascii="Times New Roman" w:eastAsia="Calibri" w:hAnsi="Times New Roman" w:cs="Times New Roman"/>
          <w:b/>
          <w:bCs/>
          <w:i/>
          <w:iCs/>
          <w:sz w:val="28"/>
          <w:szCs w:val="28"/>
        </w:rPr>
        <w:t>Coriandrum</w:t>
      </w:r>
      <w:proofErr w:type="spellEnd"/>
      <w:r w:rsidRPr="00166B8C">
        <w:rPr>
          <w:rFonts w:ascii="Times New Roman" w:eastAsia="Calibri" w:hAnsi="Times New Roman" w:cs="Times New Roman"/>
          <w:b/>
          <w:bCs/>
          <w:i/>
          <w:iCs/>
          <w:sz w:val="28"/>
          <w:szCs w:val="28"/>
        </w:rPr>
        <w:t xml:space="preserve"> </w:t>
      </w:r>
      <w:proofErr w:type="spellStart"/>
      <w:r w:rsidRPr="00166B8C">
        <w:rPr>
          <w:rFonts w:ascii="Times New Roman" w:eastAsia="Calibri" w:hAnsi="Times New Roman" w:cs="Times New Roman"/>
          <w:b/>
          <w:bCs/>
          <w:i/>
          <w:iCs/>
          <w:sz w:val="28"/>
          <w:szCs w:val="28"/>
        </w:rPr>
        <w:t>sativum</w:t>
      </w:r>
      <w:proofErr w:type="spellEnd"/>
      <w:r w:rsidRPr="00166B8C">
        <w:rPr>
          <w:rFonts w:ascii="Times New Roman" w:eastAsia="Calibri" w:hAnsi="Times New Roman" w:cs="Times New Roman"/>
          <w:b/>
          <w:bCs/>
          <w:i/>
          <w:iCs/>
          <w:sz w:val="28"/>
          <w:szCs w:val="28"/>
        </w:rPr>
        <w:t xml:space="preserve"> </w:t>
      </w:r>
      <w:r w:rsidRPr="00166B8C">
        <w:rPr>
          <w:rFonts w:ascii="Times New Roman" w:eastAsia="Calibri" w:hAnsi="Times New Roman" w:cs="Times New Roman"/>
          <w:b/>
          <w:bCs/>
          <w:sz w:val="28"/>
          <w:szCs w:val="28"/>
        </w:rPr>
        <w:t>L.) seed powder as feed additives on</w:t>
      </w:r>
      <w:r w:rsidRPr="00166B8C">
        <w:rPr>
          <w:rFonts w:ascii="Times New Roman" w:eastAsia="Calibri" w:hAnsi="Times New Roman" w:cs="Times New Roman"/>
          <w:b/>
          <w:bCs/>
          <w:sz w:val="28"/>
          <w:szCs w:val="28"/>
        </w:rPr>
        <w:br/>
        <w:t>performance and some blood parameters of broiler chickens</w:t>
      </w:r>
    </w:p>
    <w:bookmarkEnd w:id="0"/>
    <w:p w:rsidR="00166B8C" w:rsidRDefault="00166B8C" w:rsidP="005973B9">
      <w:pPr>
        <w:pStyle w:val="BodyText"/>
        <w:spacing w:before="73" w:line="198" w:lineRule="exact"/>
        <w:ind w:left="100" w:right="5987"/>
        <w:rPr>
          <w:rFonts w:ascii="Arial"/>
        </w:rPr>
      </w:pPr>
    </w:p>
    <w:p w:rsidR="00AE3E37" w:rsidRDefault="00166B8C">
      <w:pPr>
        <w:pStyle w:val="BodyText"/>
        <w:rPr>
          <w:rFonts w:ascii="Arial"/>
          <w:sz w:val="20"/>
        </w:rPr>
      </w:pPr>
      <w:r w:rsidRPr="00166B8C">
        <w:rPr>
          <w:rFonts w:ascii="TimesNewRomanPSMT" w:eastAsia="Calibri" w:hAnsi="TimesNewRomanPSMT" w:cs="Arial"/>
          <w:b/>
          <w:bCs/>
          <w:color w:val="242021"/>
          <w:sz w:val="20"/>
          <w:szCs w:val="20"/>
        </w:rPr>
        <w:t>Mona M. Khubeiz</w:t>
      </w:r>
      <w:r>
        <w:rPr>
          <w:rFonts w:ascii="TimesNewRomanPSMT" w:eastAsia="Calibri" w:hAnsi="TimesNewRomanPSMT" w:cs="Arial"/>
          <w:color w:val="242021"/>
          <w:sz w:val="12"/>
          <w:szCs w:val="12"/>
        </w:rPr>
        <w:t xml:space="preserve">, </w:t>
      </w:r>
      <w:r w:rsidRPr="00166B8C">
        <w:rPr>
          <w:rFonts w:ascii="Times New Roman" w:hAnsi="Times New Roman" w:cs="Times New Roman"/>
          <w:sz w:val="20"/>
        </w:rPr>
        <w:t>Master degree, Libya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166B8C">
      <w:pPr>
        <w:pStyle w:val="Heading3"/>
        <w:spacing w:before="147"/>
        <w:jc w:val="both"/>
      </w:pPr>
      <w:r>
        <w:rPr>
          <w:color w:val="BF5A14"/>
        </w:rPr>
        <w:lastRenderedPageBreak/>
        <w:t>Abstract</w:t>
      </w:r>
      <w:r w:rsidR="00404E5B">
        <w:rPr>
          <w:color w:val="BF5A14"/>
        </w:rPr>
        <w:t xml:space="preserve"> </w:t>
      </w:r>
    </w:p>
    <w:p w:rsidR="00166B8C" w:rsidRPr="006402DA" w:rsidRDefault="00166B8C" w:rsidP="00166B8C">
      <w:pPr>
        <w:jc w:val="both"/>
        <w:rPr>
          <w:rFonts w:asciiTheme="majorBidi" w:hAnsiTheme="majorBidi" w:cstheme="majorBidi"/>
          <w:sz w:val="20"/>
          <w:szCs w:val="20"/>
        </w:rPr>
      </w:pPr>
      <w:r w:rsidRPr="006402DA">
        <w:rPr>
          <w:rFonts w:asciiTheme="majorBidi" w:hAnsiTheme="majorBidi" w:cstheme="majorBidi"/>
          <w:sz w:val="20"/>
          <w:szCs w:val="20"/>
        </w:rPr>
        <w:t xml:space="preserve">Modern poultry production aiming to use </w:t>
      </w:r>
      <w:proofErr w:type="spellStart"/>
      <w:r w:rsidRPr="006402DA">
        <w:rPr>
          <w:rFonts w:asciiTheme="majorBidi" w:hAnsiTheme="majorBidi" w:cstheme="majorBidi"/>
          <w:sz w:val="20"/>
          <w:szCs w:val="20"/>
        </w:rPr>
        <w:t>phytogenics</w:t>
      </w:r>
      <w:proofErr w:type="spellEnd"/>
      <w:r w:rsidRPr="006402DA">
        <w:rPr>
          <w:rFonts w:asciiTheme="majorBidi" w:hAnsiTheme="majorBidi" w:cstheme="majorBidi"/>
          <w:sz w:val="20"/>
          <w:szCs w:val="20"/>
        </w:rPr>
        <w:t xml:space="preserve"> instead of antibiotics as growth promoters to produce high quality chickens</w:t>
      </w:r>
      <w:r w:rsidRPr="006402DA">
        <w:rPr>
          <w:rFonts w:asciiTheme="majorBidi" w:hAnsiTheme="majorBidi" w:cs="Times New Roman"/>
          <w:sz w:val="20"/>
          <w:szCs w:val="20"/>
          <w:rtl/>
        </w:rPr>
        <w:t>.</w:t>
      </w:r>
      <w:r w:rsidRPr="006402DA">
        <w:rPr>
          <w:rFonts w:asciiTheme="majorBidi" w:hAnsiTheme="majorBidi" w:cstheme="majorBidi"/>
          <w:sz w:val="20"/>
          <w:szCs w:val="20"/>
        </w:rPr>
        <w:t xml:space="preserve">  Investigate the effect of different levels of coriander seed powder 0% (T1) as control, </w:t>
      </w:r>
      <w:r w:rsidRPr="006402DA">
        <w:rPr>
          <w:rFonts w:asciiTheme="majorBidi" w:hAnsiTheme="majorBidi" w:cstheme="majorBidi"/>
          <w:sz w:val="20"/>
          <w:szCs w:val="20"/>
          <w:rtl/>
        </w:rPr>
        <w:t>,1.5%</w:t>
      </w:r>
      <w:r w:rsidRPr="006402DA">
        <w:rPr>
          <w:rFonts w:asciiTheme="majorBidi" w:hAnsiTheme="majorBidi" w:cstheme="majorBidi"/>
          <w:sz w:val="20"/>
          <w:szCs w:val="20"/>
        </w:rPr>
        <w:t>(T2), 2.5% (T3), and 3.5% (T4) of as a growth promoter on performance</w:t>
      </w:r>
      <w:r w:rsidRPr="006402DA">
        <w:rPr>
          <w:rFonts w:asciiTheme="majorBidi" w:hAnsiTheme="majorBidi" w:cs="Times New Roman"/>
          <w:sz w:val="20"/>
          <w:szCs w:val="20"/>
          <w:rtl/>
        </w:rPr>
        <w:t>,</w:t>
      </w:r>
      <w:r w:rsidRPr="006402DA">
        <w:rPr>
          <w:rFonts w:asciiTheme="majorBidi" w:hAnsiTheme="majorBidi" w:cstheme="majorBidi"/>
          <w:sz w:val="20"/>
          <w:szCs w:val="20"/>
        </w:rPr>
        <w:t xml:space="preserve"> and blood profile in broiler chickens</w:t>
      </w:r>
      <w:r w:rsidRPr="006402DA">
        <w:rPr>
          <w:rFonts w:asciiTheme="majorBidi" w:hAnsiTheme="majorBidi" w:cs="Times New Roman"/>
          <w:sz w:val="20"/>
          <w:szCs w:val="20"/>
          <w:rtl/>
        </w:rPr>
        <w:t>.</w:t>
      </w:r>
      <w:r w:rsidRPr="006402DA">
        <w:rPr>
          <w:rFonts w:asciiTheme="majorBidi" w:hAnsiTheme="majorBidi" w:cstheme="majorBidi"/>
          <w:sz w:val="20"/>
          <w:szCs w:val="20"/>
        </w:rPr>
        <w:t xml:space="preserve">  A total of 240 (Ross 308) one-day-old broiler chicks of mixed sexes were allocated randomly into four treatment groups, with 60 chicks/ group.  Each treatment group had three replicates (20 chicks/replicate</w:t>
      </w:r>
      <w:r w:rsidRPr="006402DA">
        <w:rPr>
          <w:rFonts w:asciiTheme="majorBidi" w:hAnsiTheme="majorBidi" w:cs="Times New Roman"/>
          <w:sz w:val="20"/>
          <w:szCs w:val="20"/>
          <w:rtl/>
        </w:rPr>
        <w:t>,</w:t>
      </w:r>
      <w:r w:rsidRPr="006402DA">
        <w:rPr>
          <w:rFonts w:asciiTheme="majorBidi" w:hAnsiTheme="majorBidi" w:cs="Times New Roman" w:hint="cs"/>
          <w:sz w:val="20"/>
          <w:szCs w:val="20"/>
          <w:rtl/>
        </w:rPr>
        <w:t>(</w:t>
      </w:r>
      <w:r w:rsidRPr="006402DA">
        <w:rPr>
          <w:rFonts w:asciiTheme="majorBidi" w:hAnsiTheme="majorBidi" w:cstheme="majorBidi"/>
          <w:sz w:val="20"/>
          <w:szCs w:val="20"/>
        </w:rPr>
        <w:t>according to a completely randomized design for 45 days..  The feed intake, live body weight, and weight gain were monitored and measured on a weekly basis. Blood samples were collected on day 45 of the trial for the determination of the percentage of white blood cells and to assess the blood profile</w:t>
      </w:r>
      <w:r w:rsidRPr="006402DA">
        <w:rPr>
          <w:rFonts w:asciiTheme="majorBidi" w:hAnsiTheme="majorBidi" w:cs="Times New Roman"/>
          <w:sz w:val="20"/>
          <w:szCs w:val="20"/>
          <w:rtl/>
        </w:rPr>
        <w:t>.</w:t>
      </w:r>
      <w:r w:rsidRPr="006402DA">
        <w:rPr>
          <w:rFonts w:asciiTheme="majorBidi" w:hAnsiTheme="majorBidi" w:cstheme="majorBidi"/>
          <w:sz w:val="20"/>
          <w:szCs w:val="20"/>
        </w:rPr>
        <w:t xml:space="preserve">  Finding:  The growth performance was not significantly affected (p &gt; 0.05).  However, the dressing percentage without the skin was significantly increased (p &lt; 0.05) at level 1.5%.  Furthermore, the serum triglyceride was significantly reduced (p &lt; 0.05) at 1.5%, while the high-density lipoprotein was significantly increased (p &lt; 0.001</w:t>
      </w:r>
      <w:r w:rsidRPr="006402DA">
        <w:rPr>
          <w:rFonts w:asciiTheme="majorBidi" w:hAnsiTheme="majorBidi" w:cs="Times New Roman"/>
          <w:sz w:val="20"/>
          <w:szCs w:val="20"/>
        </w:rPr>
        <w:t>)</w:t>
      </w:r>
      <w:r w:rsidRPr="006402DA">
        <w:rPr>
          <w:rFonts w:asciiTheme="majorBidi" w:hAnsiTheme="majorBidi" w:cstheme="majorBidi"/>
          <w:sz w:val="20"/>
          <w:szCs w:val="20"/>
        </w:rPr>
        <w:t xml:space="preserve"> at level 1.5% when compared with the control and 3.5% groups. Moreover, the glutamic oxaloacetate transaminase and glutamate pyruvate transaminase were significantly increased at 3.5% when compared with the control and 1.5% groups, with p &lt; 0.01 and p &lt; 0.05, respectively.  The basophil and eosinophil cells count were significantly increased at 2.5% (p &lt; 0.05 and p &lt; 0.01), respectively, while the lymphocyte cell was significantly increased at 1.5% (p &lt; 0.01), Nevertheless, the </w:t>
      </w:r>
      <w:proofErr w:type="spellStart"/>
      <w:r w:rsidRPr="006402DA">
        <w:rPr>
          <w:rFonts w:asciiTheme="majorBidi" w:hAnsiTheme="majorBidi" w:cstheme="majorBidi"/>
          <w:sz w:val="20"/>
          <w:szCs w:val="20"/>
        </w:rPr>
        <w:t>heterophil</w:t>
      </w:r>
      <w:proofErr w:type="spellEnd"/>
      <w:r w:rsidRPr="006402DA">
        <w:rPr>
          <w:rFonts w:asciiTheme="majorBidi" w:hAnsiTheme="majorBidi" w:cstheme="majorBidi"/>
          <w:sz w:val="20"/>
          <w:szCs w:val="20"/>
        </w:rPr>
        <w:t xml:space="preserve"> cell and H/L were significantly reduced at 1.5% (p &lt; 0.05).  Conclusion: The inclusion of coriander seed powder at 1.5% had a positive impact on the dressing percentage without skin, biochemical blood profile, and immune response</w:t>
      </w:r>
      <w:r w:rsidRPr="006402DA">
        <w:rPr>
          <w:rFonts w:asciiTheme="majorBidi" w:hAnsiTheme="majorBidi" w:cs="Times New Roman"/>
          <w:sz w:val="20"/>
          <w:szCs w:val="20"/>
          <w:rtl/>
        </w:rPr>
        <w:t>.</w:t>
      </w:r>
    </w:p>
    <w:p w:rsidR="00AE3E37" w:rsidRDefault="00A9710C" w:rsidP="006402DA">
      <w:pPr>
        <w:pStyle w:val="Heading3"/>
        <w:spacing w:before="74"/>
        <w:rPr>
          <w:color w:val="BF5A14"/>
        </w:rPr>
      </w:pPr>
      <w:r>
        <w:rPr>
          <w:b w:val="0"/>
        </w:rPr>
        <w:br w:type="column"/>
      </w:r>
      <w:r>
        <w:rPr>
          <w:color w:val="BF5A14"/>
        </w:rPr>
        <w:lastRenderedPageBreak/>
        <w:t>Image</w:t>
      </w:r>
    </w:p>
    <w:p w:rsidR="006402DA" w:rsidRPr="006402DA" w:rsidRDefault="006402DA" w:rsidP="006402DA">
      <w:pPr>
        <w:pStyle w:val="Heading3"/>
        <w:spacing w:before="74"/>
        <w:rPr>
          <w:color w:val="BF5A14"/>
        </w:rPr>
      </w:pPr>
    </w:p>
    <w:p w:rsidR="00AE3E37" w:rsidRDefault="00166B8C" w:rsidP="00166B8C">
      <w:pPr>
        <w:pStyle w:val="BodyText"/>
        <w:spacing w:before="2"/>
        <w:jc w:val="right"/>
        <w:rPr>
          <w:rFonts w:ascii="Arial"/>
          <w:b/>
          <w:sz w:val="16"/>
        </w:rPr>
      </w:pPr>
      <w:r>
        <w:rPr>
          <w:rFonts w:ascii="Arial"/>
          <w:b/>
          <w:noProof/>
          <w:sz w:val="16"/>
        </w:rPr>
        <w:drawing>
          <wp:inline distT="0" distB="0" distL="0" distR="0" wp14:anchorId="7B5966D4">
            <wp:extent cx="3400023" cy="1693571"/>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02218" cy="1694664"/>
                    </a:xfrm>
                    <a:prstGeom prst="rect">
                      <a:avLst/>
                    </a:prstGeom>
                    <a:noFill/>
                  </pic:spPr>
                </pic:pic>
              </a:graphicData>
            </a:graphic>
          </wp:inline>
        </w:drawing>
      </w:r>
    </w:p>
    <w:p w:rsidR="00166B8C" w:rsidRPr="00166B8C" w:rsidRDefault="005973B9" w:rsidP="00166B8C">
      <w:pPr>
        <w:jc w:val="center"/>
        <w:rPr>
          <w:rFonts w:ascii="Times New Roman" w:eastAsia="Calibri" w:hAnsi="Times New Roman" w:cs="Times New Roman"/>
        </w:rPr>
      </w:pPr>
      <w:r>
        <w:rPr>
          <w:rFonts w:ascii="Arial"/>
          <w:b/>
          <w:color w:val="BF5A14"/>
          <w:sz w:val="20"/>
        </w:rPr>
        <w:br/>
      </w:r>
      <w:r w:rsidR="00166B8C" w:rsidRPr="00166B8C">
        <w:rPr>
          <w:rFonts w:ascii="Times New Roman" w:eastAsia="Calibri" w:hAnsi="Times New Roman" w:cs="Times New Roman"/>
          <w:sz w:val="16"/>
          <w:szCs w:val="16"/>
        </w:rPr>
        <w:t xml:space="preserve">Figure 1:  The Means for The Main Effect of Coriander Seed Powder (g/kg DM) on </w:t>
      </w:r>
      <w:proofErr w:type="spellStart"/>
      <w:r w:rsidR="00166B8C" w:rsidRPr="00166B8C">
        <w:rPr>
          <w:rFonts w:ascii="Times New Roman" w:eastAsia="Calibri" w:hAnsi="Times New Roman" w:cs="Times New Roman"/>
          <w:sz w:val="16"/>
          <w:szCs w:val="16"/>
        </w:rPr>
        <w:t>Heterophile</w:t>
      </w:r>
      <w:proofErr w:type="spellEnd"/>
      <w:r w:rsidR="00166B8C" w:rsidRPr="00166B8C">
        <w:rPr>
          <w:rFonts w:ascii="Times New Roman" w:eastAsia="Calibri" w:hAnsi="Times New Roman" w:cs="Times New Roman"/>
          <w:sz w:val="16"/>
          <w:szCs w:val="16"/>
        </w:rPr>
        <w:t xml:space="preserve"> to Lymphocyte Blood Cells (%) of Broiler Chickens</w:t>
      </w:r>
    </w:p>
    <w:p w:rsidR="00166B8C" w:rsidRDefault="00166B8C" w:rsidP="00166B8C">
      <w:pPr>
        <w:spacing w:line="204" w:lineRule="exact"/>
        <w:rPr>
          <w:rFonts w:ascii="Arial"/>
          <w:b/>
          <w:color w:val="BF5A14"/>
          <w:sz w:val="20"/>
        </w:rPr>
      </w:pPr>
    </w:p>
    <w:p w:rsidR="00166B8C" w:rsidRDefault="00166B8C" w:rsidP="00166B8C">
      <w:pPr>
        <w:spacing w:line="204" w:lineRule="exact"/>
        <w:rPr>
          <w:rFonts w:ascii="Arial"/>
          <w:b/>
          <w:color w:val="BF5A14"/>
          <w:sz w:val="20"/>
        </w:rPr>
      </w:pPr>
    </w:p>
    <w:p w:rsidR="00166B8C" w:rsidRDefault="00166B8C" w:rsidP="00166B8C">
      <w:pPr>
        <w:spacing w:line="204" w:lineRule="exact"/>
        <w:rPr>
          <w:rFonts w:ascii="Arial"/>
          <w:b/>
          <w:color w:val="BF5A14"/>
          <w:sz w:val="20"/>
        </w:rPr>
      </w:pPr>
    </w:p>
    <w:p w:rsidR="00166B8C" w:rsidRDefault="00166B8C" w:rsidP="00166B8C">
      <w:pPr>
        <w:spacing w:line="204" w:lineRule="exact"/>
        <w:rPr>
          <w:rFonts w:ascii="Arial"/>
          <w:b/>
          <w:color w:val="BF5A14"/>
          <w:sz w:val="20"/>
        </w:rPr>
      </w:pPr>
    </w:p>
    <w:p w:rsidR="00166B8C" w:rsidRDefault="00166B8C" w:rsidP="00166B8C">
      <w:pPr>
        <w:spacing w:line="204" w:lineRule="exact"/>
        <w:rPr>
          <w:rFonts w:ascii="Arial"/>
          <w:b/>
          <w:color w:val="BF5A14"/>
          <w:sz w:val="20"/>
        </w:rPr>
      </w:pPr>
    </w:p>
    <w:p w:rsidR="005973B9" w:rsidRDefault="005973B9" w:rsidP="00166B8C">
      <w:pPr>
        <w:spacing w:line="204" w:lineRule="exact"/>
        <w:rPr>
          <w:rFonts w:ascii="Arial"/>
          <w:b/>
          <w:sz w:val="20"/>
        </w:rPr>
      </w:pPr>
      <w:r>
        <w:rPr>
          <w:rFonts w:ascii="Arial"/>
          <w:b/>
          <w:color w:val="BF5A14"/>
          <w:sz w:val="20"/>
        </w:rPr>
        <w:t xml:space="preserve">Recent Publications </w:t>
      </w:r>
    </w:p>
    <w:p w:rsidR="00AE3E37" w:rsidRPr="008756E6" w:rsidRDefault="00AE3E37" w:rsidP="008756E6">
      <w:pPr>
        <w:tabs>
          <w:tab w:val="left" w:pos="384"/>
        </w:tabs>
        <w:ind w:right="117"/>
      </w:pPr>
    </w:p>
    <w:p w:rsidR="00166B8C" w:rsidRPr="00166B8C" w:rsidRDefault="008756E6" w:rsidP="00166B8C">
      <w:pPr>
        <w:widowControl/>
        <w:spacing w:after="200" w:line="276" w:lineRule="auto"/>
        <w:rPr>
          <w:rFonts w:ascii="Times New Roman" w:eastAsia="Calibri" w:hAnsi="Times New Roman" w:cs="Times New Roman"/>
          <w:sz w:val="28"/>
          <w:szCs w:val="28"/>
        </w:rPr>
      </w:pPr>
      <w:r>
        <w:rPr>
          <w:rFonts w:ascii="Calibri" w:hAnsi="Calibri"/>
        </w:rPr>
        <w:t xml:space="preserve">  </w:t>
      </w:r>
      <w:r w:rsidR="00166B8C">
        <w:rPr>
          <w:rFonts w:ascii="Calibri" w:hAnsi="Calibri"/>
        </w:rPr>
        <w:t>1.</w:t>
      </w:r>
      <w:r>
        <w:rPr>
          <w:rFonts w:ascii="Calibri" w:hAnsi="Calibri"/>
        </w:rPr>
        <w:t xml:space="preserve"> </w:t>
      </w:r>
      <w:r w:rsidR="00166B8C" w:rsidRPr="00166B8C">
        <w:rPr>
          <w:rFonts w:ascii="Times New Roman" w:eastAsia="Calibri" w:hAnsi="Times New Roman" w:cs="Times New Roman"/>
          <w:sz w:val="20"/>
          <w:szCs w:val="20"/>
        </w:rPr>
        <w:t>Effect of coriander (</w:t>
      </w:r>
      <w:proofErr w:type="spellStart"/>
      <w:r w:rsidR="00166B8C" w:rsidRPr="00166B8C">
        <w:rPr>
          <w:rFonts w:ascii="Times New Roman" w:eastAsia="Calibri" w:hAnsi="Times New Roman" w:cs="Times New Roman"/>
          <w:i/>
          <w:iCs/>
          <w:sz w:val="20"/>
          <w:szCs w:val="20"/>
        </w:rPr>
        <w:t>Coriandrum</w:t>
      </w:r>
      <w:proofErr w:type="spellEnd"/>
      <w:r w:rsidR="00166B8C" w:rsidRPr="00166B8C">
        <w:rPr>
          <w:rFonts w:ascii="Times New Roman" w:eastAsia="Calibri" w:hAnsi="Times New Roman" w:cs="Times New Roman"/>
          <w:i/>
          <w:iCs/>
          <w:sz w:val="20"/>
          <w:szCs w:val="20"/>
        </w:rPr>
        <w:t xml:space="preserve"> </w:t>
      </w:r>
      <w:proofErr w:type="spellStart"/>
      <w:r w:rsidR="00166B8C" w:rsidRPr="00166B8C">
        <w:rPr>
          <w:rFonts w:ascii="Times New Roman" w:eastAsia="Calibri" w:hAnsi="Times New Roman" w:cs="Times New Roman"/>
          <w:i/>
          <w:iCs/>
          <w:sz w:val="20"/>
          <w:szCs w:val="20"/>
        </w:rPr>
        <w:t>sativum</w:t>
      </w:r>
      <w:proofErr w:type="spellEnd"/>
      <w:r w:rsidR="00166B8C" w:rsidRPr="00166B8C">
        <w:rPr>
          <w:rFonts w:ascii="Times New Roman" w:eastAsia="Calibri" w:hAnsi="Times New Roman" w:cs="Times New Roman"/>
          <w:i/>
          <w:iCs/>
          <w:sz w:val="20"/>
          <w:szCs w:val="20"/>
        </w:rPr>
        <w:t xml:space="preserve"> </w:t>
      </w:r>
      <w:r w:rsidR="00166B8C" w:rsidRPr="00166B8C">
        <w:rPr>
          <w:rFonts w:ascii="Times New Roman" w:eastAsia="Calibri" w:hAnsi="Times New Roman" w:cs="Times New Roman"/>
          <w:sz w:val="20"/>
          <w:szCs w:val="20"/>
        </w:rPr>
        <w:t>L.) s</w:t>
      </w:r>
      <w:r w:rsidR="00166B8C">
        <w:rPr>
          <w:rFonts w:ascii="Times New Roman" w:eastAsia="Calibri" w:hAnsi="Times New Roman" w:cs="Times New Roman"/>
          <w:sz w:val="20"/>
          <w:szCs w:val="20"/>
        </w:rPr>
        <w:t xml:space="preserve">eed powder as feed additives on </w:t>
      </w:r>
      <w:r w:rsidR="00166B8C" w:rsidRPr="00166B8C">
        <w:rPr>
          <w:rFonts w:ascii="Times New Roman" w:eastAsia="Calibri" w:hAnsi="Times New Roman" w:cs="Times New Roman"/>
          <w:sz w:val="20"/>
          <w:szCs w:val="20"/>
        </w:rPr>
        <w:t>performance and some blood parameters of broiler chickens</w:t>
      </w:r>
    </w:p>
    <w:p w:rsidR="00166B8C" w:rsidRDefault="00166B8C" w:rsidP="00166B8C">
      <w:pPr>
        <w:pStyle w:val="BodyText"/>
        <w:spacing w:before="73" w:line="198" w:lineRule="exact"/>
        <w:ind w:left="100" w:right="5987"/>
        <w:rPr>
          <w:rFonts w:ascii="Arial"/>
        </w:rPr>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166B8C">
      <w:pPr>
        <w:spacing w:before="92"/>
        <w:ind w:right="4234"/>
        <w:rPr>
          <w:rFonts w:ascii="Arial"/>
        </w:rPr>
      </w:pPr>
      <w:r>
        <w:rPr>
          <w:noProof/>
        </w:rPr>
        <w:t xml:space="preserve">              </w:t>
      </w:r>
      <w:r>
        <w:rPr>
          <w:noProof/>
        </w:rPr>
        <w:drawing>
          <wp:inline distT="0" distB="0" distL="0" distR="0" wp14:anchorId="2F00B24B" wp14:editId="48C4A6D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166B8C">
        <w:rPr>
          <w:rFonts w:ascii="Arial"/>
          <w:color w:val="BF5A14"/>
        </w:rPr>
        <w:t xml:space="preserve"> </w:t>
      </w:r>
    </w:p>
    <w:p w:rsidR="00AE3E37" w:rsidRDefault="00A9710C" w:rsidP="006402DA">
      <w:pPr>
        <w:spacing w:before="41" w:line="154" w:lineRule="exact"/>
        <w:ind w:left="213" w:right="231"/>
        <w:rPr>
          <w:rFonts w:ascii="Arial"/>
          <w:sz w:val="14"/>
        </w:rPr>
      </w:pPr>
      <w:r>
        <w:rPr>
          <w:rFonts w:ascii="Arial"/>
          <w:sz w:val="14"/>
        </w:rPr>
        <w:t>.</w:t>
      </w:r>
      <w:r w:rsidR="006402DA" w:rsidRPr="006402DA">
        <w:t xml:space="preserve"> </w:t>
      </w:r>
      <w:r w:rsidR="006402DA" w:rsidRPr="006402DA">
        <w:rPr>
          <w:rFonts w:ascii="Times New Roman" w:hAnsi="Times New Roman" w:cs="Times New Roman"/>
          <w:sz w:val="16"/>
          <w:szCs w:val="24"/>
        </w:rPr>
        <w:t xml:space="preserve">Dr. Mona Muhammad </w:t>
      </w:r>
      <w:proofErr w:type="spellStart"/>
      <w:r w:rsidR="006402DA" w:rsidRPr="006402DA">
        <w:rPr>
          <w:rFonts w:ascii="Times New Roman" w:hAnsi="Times New Roman" w:cs="Times New Roman"/>
          <w:sz w:val="16"/>
          <w:szCs w:val="24"/>
        </w:rPr>
        <w:t>Khbeiz</w:t>
      </w:r>
      <w:proofErr w:type="spellEnd"/>
      <w:r w:rsidR="006402DA" w:rsidRPr="006402DA">
        <w:rPr>
          <w:rFonts w:ascii="Times New Roman" w:hAnsi="Times New Roman" w:cs="Times New Roman"/>
          <w:sz w:val="16"/>
          <w:szCs w:val="24"/>
        </w:rPr>
        <w:t xml:space="preserve"> has experience gained through studying in the field of animal nutrition for seven years and working in the same field as teaching this subject at the University of Tripoli and the Higher Institute of Medical Sciences. Her career began after she returned to school after circumstances forced her to study a master's degree at the University of Tripoli, and this required a lot of effort and hard work to fulfill her homework as a mother of four children</w:t>
      </w:r>
      <w:r w:rsidR="006402DA" w:rsidRPr="006402DA">
        <w:rPr>
          <w:rFonts w:ascii="Times New Roman" w:hAnsi="Times New Roman" w:cs="Times New Roman"/>
          <w:sz w:val="16"/>
          <w:szCs w:val="24"/>
        </w:rPr>
        <w:t xml:space="preserve">.  </w:t>
      </w:r>
      <w:r w:rsidR="006402DA" w:rsidRPr="006402DA">
        <w:rPr>
          <w:rFonts w:ascii="Times New Roman" w:hAnsi="Times New Roman" w:cs="Times New Roman"/>
          <w:sz w:val="16"/>
          <w:szCs w:val="24"/>
        </w:rPr>
        <w:t>And now she has reached what she aspires to and continues to do so for the best</w:t>
      </w:r>
    </w:p>
    <w:p w:rsidR="00AE3E37" w:rsidRDefault="00A9710C" w:rsidP="006402DA">
      <w:pPr>
        <w:spacing w:before="62"/>
        <w:ind w:left="4217" w:right="4235"/>
        <w:jc w:val="center"/>
        <w:rPr>
          <w:rFonts w:ascii="Arial"/>
          <w:sz w:val="14"/>
        </w:rPr>
      </w:pPr>
      <w:r>
        <w:rPr>
          <w:rFonts w:ascii="Arial"/>
          <w:sz w:val="14"/>
        </w:rPr>
        <w:t xml:space="preserve">Email: </w:t>
      </w:r>
      <w:hyperlink r:id="rId12" w:history="1">
        <w:r w:rsidR="006402DA" w:rsidRPr="00A4535D">
          <w:rPr>
            <w:rStyle w:val="Hyperlink"/>
            <w:rFonts w:ascii="Arial"/>
            <w:sz w:val="14"/>
          </w:rPr>
          <w:t>monakhubiez@gmail.com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E3E37" w:rsidP="006402DA">
      <w:pPr>
        <w:spacing w:before="39"/>
        <w:rPr>
          <w:rFonts w:ascii="Minion Pro"/>
          <w:b/>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156D" w:rsidRDefault="0027156D">
      <w:r>
        <w:separator/>
      </w:r>
    </w:p>
  </w:endnote>
  <w:endnote w:type="continuationSeparator" w:id="0">
    <w:p w:rsidR="0027156D" w:rsidRDefault="002715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156D" w:rsidRDefault="0027156D">
      <w:r>
        <w:separator/>
      </w:r>
    </w:p>
  </w:footnote>
  <w:footnote w:type="continuationSeparator" w:id="0">
    <w:p w:rsidR="0027156D" w:rsidRDefault="002715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66B8C"/>
    <w:rsid w:val="001E763C"/>
    <w:rsid w:val="0027156D"/>
    <w:rsid w:val="00292ED9"/>
    <w:rsid w:val="00314AFB"/>
    <w:rsid w:val="003B76D9"/>
    <w:rsid w:val="00404E5B"/>
    <w:rsid w:val="00414F7B"/>
    <w:rsid w:val="004355DC"/>
    <w:rsid w:val="004749B4"/>
    <w:rsid w:val="00494130"/>
    <w:rsid w:val="004F3523"/>
    <w:rsid w:val="005973B9"/>
    <w:rsid w:val="005B3A56"/>
    <w:rsid w:val="006060CE"/>
    <w:rsid w:val="0063497F"/>
    <w:rsid w:val="006402DA"/>
    <w:rsid w:val="0078738A"/>
    <w:rsid w:val="00873DF0"/>
    <w:rsid w:val="008756E6"/>
    <w:rsid w:val="009B2D44"/>
    <w:rsid w:val="00A07E82"/>
    <w:rsid w:val="00A9710C"/>
    <w:rsid w:val="00AE3E37"/>
    <w:rsid w:val="00B21A57"/>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monakhubiez@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464</Words>
  <Characters>2650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DR.Ahmed Saker 2O11</cp:lastModifiedBy>
  <cp:revision>2</cp:revision>
  <dcterms:created xsi:type="dcterms:W3CDTF">2022-02-11T21:11:00Z</dcterms:created>
  <dcterms:modified xsi:type="dcterms:W3CDTF">2022-02-11T21:11:00Z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