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7FFCE" w14:textId="1698B877" w:rsidR="00E03802" w:rsidRDefault="00E03802" w:rsidP="00494130">
      <w:pPr>
        <w:pStyle w:val="Heading1"/>
        <w:spacing w:before="170"/>
        <w:ind w:left="0"/>
        <w:rPr>
          <w:color w:val="337AB7"/>
        </w:rPr>
      </w:pPr>
      <w:r>
        <w:rPr>
          <w:color w:val="337AB7"/>
        </w:rPr>
        <w:t>Impacts of EM</w:t>
      </w:r>
      <w:r w:rsidR="00C50617" w:rsidRPr="00C50617">
        <w:rPr>
          <w:color w:val="337AB7"/>
        </w:rPr>
        <w:t>®</w:t>
      </w:r>
      <w:r>
        <w:rPr>
          <w:color w:val="337AB7"/>
        </w:rPr>
        <w:t xml:space="preserve"> </w:t>
      </w:r>
      <w:r w:rsidR="00C50617" w:rsidRPr="00C50617">
        <w:rPr>
          <w:color w:val="337AB7"/>
        </w:rPr>
        <w:t>probiotic for bees</w:t>
      </w:r>
      <w:r>
        <w:rPr>
          <w:color w:val="337AB7"/>
        </w:rPr>
        <w:t xml:space="preserve"> on </w:t>
      </w:r>
      <w:bookmarkStart w:id="0" w:name="_Hlk90235652"/>
      <w:r>
        <w:rPr>
          <w:color w:val="337AB7"/>
        </w:rPr>
        <w:t xml:space="preserve">physiological parameters and </w:t>
      </w:r>
      <w:r w:rsidRPr="00E03802">
        <w:rPr>
          <w:color w:val="337AB7"/>
        </w:rPr>
        <w:t xml:space="preserve">gut microbiota of </w:t>
      </w:r>
      <w:r w:rsidR="006F67C8">
        <w:rPr>
          <w:color w:val="337AB7"/>
        </w:rPr>
        <w:t>honey</w:t>
      </w:r>
      <w:r w:rsidRPr="00E03802">
        <w:rPr>
          <w:color w:val="337AB7"/>
        </w:rPr>
        <w:t>bees</w:t>
      </w:r>
    </w:p>
    <w:bookmarkEnd w:id="0"/>
    <w:p w14:paraId="5B6D5F84" w14:textId="77777777" w:rsidR="00E03802" w:rsidRDefault="00E03802" w:rsidP="005973B9">
      <w:pPr>
        <w:pStyle w:val="BodyText"/>
        <w:spacing w:before="73" w:line="198" w:lineRule="exact"/>
        <w:ind w:left="100" w:right="5987"/>
        <w:rPr>
          <w:rFonts w:ascii="Arial"/>
        </w:rPr>
      </w:pPr>
    </w:p>
    <w:p w14:paraId="60D72C03" w14:textId="732FF6AB" w:rsidR="0078738A" w:rsidRDefault="00E03802" w:rsidP="005973B9">
      <w:pPr>
        <w:pStyle w:val="BodyText"/>
        <w:spacing w:before="73" w:line="198" w:lineRule="exact"/>
        <w:ind w:left="100" w:right="5987"/>
        <w:rPr>
          <w:rFonts w:ascii="Arial"/>
        </w:rPr>
      </w:pPr>
      <w:r>
        <w:rPr>
          <w:rFonts w:ascii="Arial"/>
        </w:rPr>
        <w:t>Prof Ivana Tlak Gajger</w:t>
      </w:r>
      <w:r w:rsidR="005973B9">
        <w:rPr>
          <w:rFonts w:ascii="Arial"/>
        </w:rPr>
        <w:t>,</w:t>
      </w:r>
      <w:r>
        <w:rPr>
          <w:rFonts w:ascii="Arial"/>
        </w:rPr>
        <w:t xml:space="preserve"> </w:t>
      </w:r>
      <w:bookmarkStart w:id="1" w:name="_Hlk90226880"/>
      <w:r w:rsidR="005973B9">
        <w:rPr>
          <w:rFonts w:ascii="Arial"/>
        </w:rPr>
        <w:t xml:space="preserve">PhD, </w:t>
      </w:r>
      <w:r>
        <w:rPr>
          <w:rFonts w:ascii="Arial"/>
        </w:rPr>
        <w:t>Faculty of Veterinary</w:t>
      </w:r>
      <w:r w:rsidR="006F67C8">
        <w:rPr>
          <w:rFonts w:ascii="Arial"/>
        </w:rPr>
        <w:t xml:space="preserve"> </w:t>
      </w:r>
      <w:r>
        <w:rPr>
          <w:rFonts w:ascii="Arial"/>
        </w:rPr>
        <w:t>Medicine University of Zagreb, Zagreb, Croatia</w:t>
      </w:r>
      <w:r w:rsidR="005973B9">
        <w:rPr>
          <w:rFonts w:ascii="Arial"/>
        </w:rPr>
        <w:t xml:space="preserve"> </w:t>
      </w:r>
      <w:bookmarkEnd w:id="1"/>
    </w:p>
    <w:p w14:paraId="39C047A8" w14:textId="51D4714D" w:rsidR="005973B9" w:rsidRDefault="006F67C8" w:rsidP="005973B9">
      <w:pPr>
        <w:pStyle w:val="BodyText"/>
        <w:spacing w:before="73" w:line="198" w:lineRule="exact"/>
        <w:ind w:left="100" w:right="5987"/>
        <w:rPr>
          <w:rFonts w:ascii="Arial"/>
        </w:rPr>
      </w:pPr>
      <w:r>
        <w:rPr>
          <w:rFonts w:ascii="Arial"/>
        </w:rPr>
        <w:t xml:space="preserve">Prof Srebrenka Nejedli, </w:t>
      </w:r>
      <w:r w:rsidRPr="006F67C8">
        <w:rPr>
          <w:rFonts w:ascii="Arial"/>
        </w:rPr>
        <w:t>PhD, Faculty of Veterinary Medicine University of Zagreb, Zagreb, Croatia</w:t>
      </w:r>
    </w:p>
    <w:p w14:paraId="5E0B71EF" w14:textId="60EE1C42" w:rsidR="006F67C8" w:rsidRDefault="006F67C8" w:rsidP="005973B9">
      <w:pPr>
        <w:pStyle w:val="BodyText"/>
        <w:spacing w:before="73" w:line="198" w:lineRule="exact"/>
        <w:ind w:left="100" w:right="5987"/>
        <w:rPr>
          <w:rFonts w:ascii="Arial"/>
        </w:rPr>
      </w:pPr>
      <w:r>
        <w:rPr>
          <w:rFonts w:ascii="Arial"/>
        </w:rPr>
        <w:t xml:space="preserve">Dr. </w:t>
      </w:r>
      <w:r w:rsidR="000E6B1E">
        <w:rPr>
          <w:rFonts w:ascii="Arial"/>
        </w:rPr>
        <w:t>Saki Nagamoto, EM Research Organi</w:t>
      </w:r>
      <w:r w:rsidR="00B1006D">
        <w:rPr>
          <w:rFonts w:ascii="Arial"/>
        </w:rPr>
        <w:t>z</w:t>
      </w:r>
      <w:r w:rsidR="000E6B1E">
        <w:rPr>
          <w:rFonts w:ascii="Arial"/>
        </w:rPr>
        <w:t xml:space="preserve">ation Inc., </w:t>
      </w:r>
      <w:r w:rsidR="00B1006D" w:rsidRPr="00B1006D">
        <w:rPr>
          <w:rFonts w:ascii="Arial"/>
        </w:rPr>
        <w:t>Okinawa</w:t>
      </w:r>
      <w:r w:rsidR="00B1006D">
        <w:rPr>
          <w:rFonts w:ascii="Arial"/>
        </w:rPr>
        <w:t>, Japan</w:t>
      </w:r>
    </w:p>
    <w:p w14:paraId="3C0144C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7B94DBB" w14:textId="18701CDC" w:rsidR="00AE3E37" w:rsidRDefault="00AE3E37" w:rsidP="003076BE">
      <w:pPr>
        <w:pStyle w:val="Heading3"/>
        <w:spacing w:before="147"/>
        <w:ind w:left="0"/>
        <w:jc w:val="both"/>
      </w:pPr>
    </w:p>
    <w:p w14:paraId="6A20C4DC" w14:textId="527E65E7" w:rsidR="00AE3E37" w:rsidRDefault="006D0A87" w:rsidP="00886B28">
      <w:pPr>
        <w:pStyle w:val="BodyText"/>
        <w:spacing w:before="90" w:line="280" w:lineRule="auto"/>
        <w:ind w:left="100"/>
        <w:jc w:val="both"/>
      </w:pPr>
      <w:r w:rsidRPr="006D0A87">
        <w:t xml:space="preserve">Multiple causal factors are considered to contribute to </w:t>
      </w:r>
      <w:r>
        <w:t xml:space="preserve">honeybee </w:t>
      </w:r>
      <w:r w:rsidRPr="006D0A87">
        <w:t xml:space="preserve">colony losses: parasites and pathogens, exposure to pesticides, diet quantity, quality and diversity, as well as unfavorable weather and forage circumstances. Also, health status of honeybee colonies is highly influenced by beekeeper’s management practices. </w:t>
      </w:r>
      <w:r w:rsidR="00A72663" w:rsidRPr="006D0A87">
        <w:t>All</w:t>
      </w:r>
      <w:r w:rsidRPr="006D0A87">
        <w:t xml:space="preserve"> these factors affect honeybee colonies individually or in various combinations</w:t>
      </w:r>
      <w:bookmarkStart w:id="2" w:name="_Hlk36495899"/>
      <w:r w:rsidRPr="006D0A87">
        <w:t xml:space="preserve">, possible causing </w:t>
      </w:r>
      <w:bookmarkEnd w:id="2"/>
      <w:r w:rsidRPr="006D0A87">
        <w:t xml:space="preserve">severe disturbance of honeybee </w:t>
      </w:r>
      <w:r>
        <w:t xml:space="preserve">intestines </w:t>
      </w:r>
      <w:r w:rsidRPr="006D0A87">
        <w:t>microbiota composition. Adult honeybee dysbiosis</w:t>
      </w:r>
      <w:r w:rsidR="00A72663">
        <w:t xml:space="preserve"> - </w:t>
      </w:r>
      <w:r w:rsidRPr="006D0A87">
        <w:t>gastrointestinal microbial imbalance is linked to lower body weight, deficient development and early workers mortality. Furthermore, the altered microbiota is associated with host deficiencies</w:t>
      </w:r>
      <w:r w:rsidR="00A72663">
        <w:t xml:space="preserve"> when</w:t>
      </w:r>
      <w:r w:rsidRPr="006D0A87">
        <w:t xml:space="preserve"> the environmental stressors could change gut bacterial balance and lead to visible manifestation of opportunistic </w:t>
      </w:r>
      <w:r w:rsidR="00A72663">
        <w:t xml:space="preserve">diseases. </w:t>
      </w:r>
      <w:r w:rsidRPr="006D0A87">
        <w:t xml:space="preserve">Among them the increased number of </w:t>
      </w:r>
      <w:r w:rsidRPr="006D0A87">
        <w:rPr>
          <w:i/>
          <w:iCs/>
        </w:rPr>
        <w:t>Nosema</w:t>
      </w:r>
      <w:r w:rsidRPr="006D0A87">
        <w:t xml:space="preserve"> spp. spores in midgut, premature foragers and immune suppression linked with oxidative stress were reported. </w:t>
      </w:r>
      <w:r w:rsidR="00677216">
        <w:t>I</w:t>
      </w:r>
      <w:r w:rsidR="006D687D" w:rsidRPr="006D687D">
        <w:t>ntestinal microbiota</w:t>
      </w:r>
      <w:r w:rsidR="00677216">
        <w:t xml:space="preserve"> of honeybees</w:t>
      </w:r>
      <w:r w:rsidR="006D687D" w:rsidRPr="006D687D">
        <w:t xml:space="preserve"> can provide novel insights into the pathogenesis-related factors involved in pathogen infection. Hence, we investigated the comparison of intestinal microbiota communities in control and </w:t>
      </w:r>
      <w:r w:rsidR="00677216" w:rsidRPr="006D0A87">
        <w:rPr>
          <w:i/>
          <w:iCs/>
        </w:rPr>
        <w:t>Nosema ceranae</w:t>
      </w:r>
      <w:r w:rsidR="00677216">
        <w:t xml:space="preserve"> i</w:t>
      </w:r>
      <w:r w:rsidR="006D687D" w:rsidRPr="006D687D">
        <w:t>nfected group</w:t>
      </w:r>
      <w:r>
        <w:t>s of honeybee colonies</w:t>
      </w:r>
      <w:r w:rsidR="006D687D" w:rsidRPr="006D687D">
        <w:t xml:space="preserve"> through high-throughput sequencing of the 16S rRNA</w:t>
      </w:r>
      <w:r w:rsidR="00677216">
        <w:t>.</w:t>
      </w:r>
      <w:r w:rsidR="006D687D">
        <w:t xml:space="preserve"> </w:t>
      </w:r>
      <w:r w:rsidRPr="006D0A87">
        <w:t>As a novel approach in therapy, we hypothesize that EM</w:t>
      </w:r>
      <w:bookmarkStart w:id="3" w:name="_Hlk50134522"/>
      <w:r w:rsidRPr="006D0A87">
        <w:t xml:space="preserve">® </w:t>
      </w:r>
      <w:r w:rsidR="00C50617">
        <w:t xml:space="preserve">probiotic </w:t>
      </w:r>
      <w:r w:rsidRPr="006D0A87">
        <w:t xml:space="preserve">for bees </w:t>
      </w:r>
      <w:bookmarkEnd w:id="3"/>
      <w:r w:rsidRPr="006D0A87">
        <w:t xml:space="preserve">could potentially have an important therapeutic and immunomodulatory effect on honeybee colonies. The aim of our study was to evaluate its impact on </w:t>
      </w:r>
      <w:r w:rsidR="00A72663">
        <w:t xml:space="preserve">different </w:t>
      </w:r>
      <w:r w:rsidR="00A72663" w:rsidRPr="00A72663">
        <w:t xml:space="preserve">physiological parameters and gut microbiota </w:t>
      </w:r>
      <w:r w:rsidR="00B90278">
        <w:t xml:space="preserve">composition </w:t>
      </w:r>
      <w:r w:rsidR="00A72663" w:rsidRPr="00E6587E">
        <w:t>of honeybees.</w:t>
      </w:r>
      <w:r w:rsidR="00E44A0A" w:rsidRPr="00E6587E">
        <w:t xml:space="preserve"> The 25 major genera with a total of more than 1000 OTUs were detected, with </w:t>
      </w:r>
      <w:r w:rsidR="00E44A0A" w:rsidRPr="00E6587E">
        <w:rPr>
          <w:i/>
          <w:iCs/>
        </w:rPr>
        <w:t>Lactobacillus</w:t>
      </w:r>
      <w:r w:rsidR="00E44A0A" w:rsidRPr="00E6587E">
        <w:t xml:space="preserve"> being the most abundant genus, followed by </w:t>
      </w:r>
      <w:r w:rsidR="00E44A0A" w:rsidRPr="00E6587E">
        <w:rPr>
          <w:i/>
          <w:iCs/>
        </w:rPr>
        <w:t>Gilliamela</w:t>
      </w:r>
      <w:r w:rsidR="00E44A0A" w:rsidRPr="00E6587E">
        <w:t xml:space="preserve">, </w:t>
      </w:r>
      <w:r w:rsidR="00E44A0A" w:rsidRPr="00E6587E">
        <w:rPr>
          <w:i/>
          <w:iCs/>
        </w:rPr>
        <w:t>Snodgrassella</w:t>
      </w:r>
      <w:r w:rsidR="00E44A0A" w:rsidRPr="00E6587E">
        <w:t xml:space="preserve"> and </w:t>
      </w:r>
      <w:r w:rsidR="00E44A0A" w:rsidRPr="00E6587E">
        <w:rPr>
          <w:i/>
          <w:iCs/>
        </w:rPr>
        <w:t>Bifidobacterium</w:t>
      </w:r>
      <w:r w:rsidR="00E44A0A" w:rsidRPr="00E6587E">
        <w:t>.</w:t>
      </w:r>
      <w:r w:rsidR="00E44A0A" w:rsidRPr="00E6587E">
        <w:rPr>
          <w:rFonts w:eastAsia="MS PGothic" w:cstheme="minorBidi"/>
          <w:kern w:val="2"/>
          <w:lang w:eastAsia="ja-JP"/>
        </w:rPr>
        <w:t xml:space="preserve"> </w:t>
      </w:r>
      <w:r w:rsidR="00E6587E" w:rsidRPr="00E6587E">
        <w:rPr>
          <w:rFonts w:eastAsia="MS PGothic" w:cstheme="minorBidi"/>
          <w:kern w:val="2"/>
          <w:lang w:eastAsia="ja-JP"/>
        </w:rPr>
        <w:t xml:space="preserve">In EM treatment groups </w:t>
      </w:r>
      <w:r w:rsidR="00E6587E" w:rsidRPr="00E6587E">
        <w:rPr>
          <w:rFonts w:eastAsia="MS PGothic" w:cstheme="minorBidi"/>
          <w:i/>
          <w:iCs/>
          <w:kern w:val="2"/>
          <w:lang w:eastAsia="ja-JP"/>
        </w:rPr>
        <w:t>Kluyvera, Klebsiella, Eschrichia</w:t>
      </w:r>
      <w:r w:rsidR="00E6587E" w:rsidRPr="00E6587E">
        <w:rPr>
          <w:rFonts w:eastAsia="MS PGothic" w:cstheme="minorBidi"/>
          <w:kern w:val="2"/>
          <w:lang w:eastAsia="ja-JP"/>
        </w:rPr>
        <w:t xml:space="preserve"> and </w:t>
      </w:r>
      <w:r w:rsidR="00E6587E" w:rsidRPr="00E6587E">
        <w:rPr>
          <w:rFonts w:eastAsia="MS PGothic" w:cstheme="minorBidi"/>
          <w:i/>
          <w:iCs/>
          <w:kern w:val="2"/>
          <w:lang w:eastAsia="ja-JP"/>
        </w:rPr>
        <w:t>Cedecea</w:t>
      </w:r>
      <w:r w:rsidR="00E6587E" w:rsidRPr="00E6587E">
        <w:rPr>
          <w:rFonts w:eastAsia="MS PGothic" w:cstheme="minorBidi"/>
          <w:kern w:val="2"/>
          <w:lang w:eastAsia="ja-JP"/>
        </w:rPr>
        <w:t xml:space="preserve"> </w:t>
      </w:r>
      <w:r w:rsidR="00C9701D">
        <w:rPr>
          <w:rFonts w:eastAsia="MS PGothic" w:cstheme="minorBidi"/>
          <w:kern w:val="2"/>
          <w:lang w:eastAsia="ja-JP"/>
        </w:rPr>
        <w:t xml:space="preserve">concentrations </w:t>
      </w:r>
      <w:r w:rsidR="00E6587E" w:rsidRPr="00E6587E">
        <w:rPr>
          <w:rFonts w:eastAsia="MS PGothic" w:cstheme="minorBidi"/>
          <w:kern w:val="2"/>
          <w:lang w:eastAsia="ja-JP"/>
        </w:rPr>
        <w:t xml:space="preserve">were higher than </w:t>
      </w:r>
      <w:r w:rsidR="00E6587E">
        <w:rPr>
          <w:rFonts w:eastAsia="MS PGothic" w:cstheme="minorBidi"/>
          <w:kern w:val="2"/>
          <w:lang w:eastAsia="ja-JP"/>
        </w:rPr>
        <w:t>in control</w:t>
      </w:r>
      <w:r w:rsidR="00E6587E" w:rsidRPr="00E6587E">
        <w:rPr>
          <w:rFonts w:eastAsia="MS PGothic" w:cstheme="minorBidi"/>
          <w:kern w:val="2"/>
          <w:lang w:eastAsia="ja-JP"/>
        </w:rPr>
        <w:t xml:space="preserve"> groups</w:t>
      </w:r>
      <w:r w:rsidR="00E6587E">
        <w:rPr>
          <w:rFonts w:eastAsia="MS PGothic" w:cstheme="minorBidi"/>
          <w:kern w:val="2"/>
          <w:lang w:eastAsia="ja-JP"/>
        </w:rPr>
        <w:t>.</w:t>
      </w:r>
      <w:r w:rsidR="00E6587E" w:rsidRPr="00E6587E">
        <w:rPr>
          <w:rFonts w:eastAsia="MS PGothic" w:cstheme="minorBidi"/>
          <w:kern w:val="2"/>
          <w:lang w:eastAsia="ja-JP"/>
        </w:rPr>
        <w:t xml:space="preserve"> This result indicates </w:t>
      </w:r>
      <w:r w:rsidR="00C9701D">
        <w:rPr>
          <w:rFonts w:eastAsia="MS PGothic" w:cstheme="minorBidi"/>
          <w:kern w:val="2"/>
          <w:lang w:eastAsia="ja-JP"/>
        </w:rPr>
        <w:t>that c</w:t>
      </w:r>
      <w:r w:rsidR="00E6587E" w:rsidRPr="00E6587E">
        <w:rPr>
          <w:rFonts w:eastAsia="MS PGothic" w:cstheme="minorBidi"/>
          <w:kern w:val="2"/>
          <w:lang w:eastAsia="ja-JP"/>
        </w:rPr>
        <w:t xml:space="preserve">ontinuous EM treatments shall </w:t>
      </w:r>
      <w:r w:rsidR="00F305AF" w:rsidRPr="00E6587E">
        <w:rPr>
          <w:rFonts w:eastAsia="MS PGothic" w:cstheme="minorBidi"/>
          <w:kern w:val="2"/>
          <w:lang w:eastAsia="ja-JP"/>
        </w:rPr>
        <w:t>clearly change</w:t>
      </w:r>
      <w:r w:rsidR="00E6587E" w:rsidRPr="00E6587E">
        <w:rPr>
          <w:rFonts w:eastAsia="MS PGothic" w:cstheme="minorBidi"/>
          <w:kern w:val="2"/>
          <w:lang w:eastAsia="ja-JP"/>
        </w:rPr>
        <w:t xml:space="preserve"> bees gut microbiome composition</w:t>
      </w:r>
      <w:r w:rsidR="00E6587E">
        <w:rPr>
          <w:rFonts w:eastAsia="MS PGothic" w:cstheme="minorBidi"/>
          <w:kern w:val="2"/>
          <w:lang w:eastAsia="ja-JP"/>
        </w:rPr>
        <w:t xml:space="preserve">. </w:t>
      </w:r>
      <w:r w:rsidR="00E44A0A" w:rsidRPr="00E6587E">
        <w:rPr>
          <w:i/>
          <w:iCs/>
        </w:rPr>
        <w:t>Snodgrassella alvi</w:t>
      </w:r>
      <w:r w:rsidR="00E44A0A" w:rsidRPr="00E6587E">
        <w:t xml:space="preserve"> was a major member of the honeybee gut microbiota and may be significantly increased by long</w:t>
      </w:r>
      <w:r w:rsidR="00E44A0A" w:rsidRPr="00E44A0A">
        <w:t>-term EM treatment</w:t>
      </w:r>
      <w:r w:rsidR="00C9701D">
        <w:t xml:space="preserve">. </w:t>
      </w:r>
      <w:r w:rsidR="00A55F04">
        <w:t>According to</w:t>
      </w:r>
      <w:r w:rsidR="00C9701D">
        <w:t xml:space="preserve"> those r</w:t>
      </w:r>
      <w:r w:rsidR="003076BE" w:rsidRPr="003076BE">
        <w:t xml:space="preserve">esults, it would be possible </w:t>
      </w:r>
      <w:r w:rsidR="00C9701D">
        <w:t xml:space="preserve">with </w:t>
      </w:r>
      <w:r w:rsidR="00C9701D" w:rsidRPr="00C9701D">
        <w:t>EM treatment</w:t>
      </w:r>
      <w:r w:rsidR="00C9701D">
        <w:t xml:space="preserve">s </w:t>
      </w:r>
      <w:r w:rsidR="003076BE" w:rsidRPr="003076BE">
        <w:t>protect honeybees from herbicide</w:t>
      </w:r>
      <w:r w:rsidR="003076BE">
        <w:t xml:space="preserve"> negative effects </w:t>
      </w:r>
      <w:r w:rsidR="003076BE" w:rsidRPr="003076BE">
        <w:t>(</w:t>
      </w:r>
      <w:r w:rsidR="003076BE">
        <w:t>e.g.</w:t>
      </w:r>
      <w:r w:rsidR="00F305AF">
        <w:t xml:space="preserve">, </w:t>
      </w:r>
      <w:r w:rsidR="003076BE" w:rsidRPr="003076BE">
        <w:t>Glyphosate) in agricultural fields,</w:t>
      </w:r>
      <w:r w:rsidR="003076BE">
        <w:t xml:space="preserve"> by i</w:t>
      </w:r>
      <w:r w:rsidR="003076BE" w:rsidRPr="003076BE">
        <w:t>mproving microbiome and immune function</w:t>
      </w:r>
      <w:r w:rsidR="00A55F04">
        <w:t>s</w:t>
      </w:r>
      <w:r w:rsidR="003076BE" w:rsidRPr="003076BE">
        <w:t>.</w:t>
      </w:r>
      <w:r w:rsidR="00A9710C">
        <w:br w:type="column"/>
      </w:r>
    </w:p>
    <w:p w14:paraId="062D1F3E" w14:textId="48F57C6E" w:rsidR="00AE3E37" w:rsidRDefault="003223FB">
      <w:pPr>
        <w:pStyle w:val="BodyText"/>
        <w:spacing w:before="2"/>
        <w:rPr>
          <w:rFonts w:ascii="Arial"/>
          <w:b/>
          <w:sz w:val="16"/>
        </w:rPr>
      </w:pPr>
      <w:r>
        <w:rPr>
          <w:noProof/>
        </w:rPr>
        <w:drawing>
          <wp:inline distT="0" distB="0" distL="0" distR="0" wp14:anchorId="47AB9BD1" wp14:editId="7EFF9D53">
            <wp:extent cx="2939415" cy="1632585"/>
            <wp:effectExtent l="0" t="0" r="0" b="5715"/>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39415" cy="1632585"/>
                    </a:xfrm>
                    <a:prstGeom prst="rect">
                      <a:avLst/>
                    </a:prstGeom>
                    <a:noFill/>
                    <a:ln>
                      <a:noFill/>
                    </a:ln>
                  </pic:spPr>
                </pic:pic>
              </a:graphicData>
            </a:graphic>
          </wp:inline>
        </w:drawing>
      </w:r>
    </w:p>
    <w:p w14:paraId="0C142F8B" w14:textId="1D8C97E0" w:rsidR="005973B9" w:rsidRDefault="005973B9" w:rsidP="005973B9">
      <w:pPr>
        <w:spacing w:line="204" w:lineRule="exact"/>
        <w:rPr>
          <w:rFonts w:ascii="Arial"/>
          <w:b/>
          <w:sz w:val="20"/>
        </w:rPr>
      </w:pPr>
    </w:p>
    <w:p w14:paraId="2C918E1D" w14:textId="77777777" w:rsidR="00395B37" w:rsidRPr="00886B28" w:rsidRDefault="00395B37" w:rsidP="00395B37">
      <w:pPr>
        <w:pStyle w:val="ListParagraph"/>
        <w:numPr>
          <w:ilvl w:val="0"/>
          <w:numId w:val="3"/>
        </w:numPr>
        <w:tabs>
          <w:tab w:val="left" w:pos="384"/>
        </w:tabs>
        <w:spacing w:line="216" w:lineRule="exact"/>
        <w:ind w:right="137"/>
        <w:rPr>
          <w:rFonts w:ascii="Tw Cen MT" w:hAnsi="Tw Cen MT"/>
          <w:sz w:val="18"/>
        </w:rPr>
      </w:pPr>
      <w:r w:rsidRPr="00886B28">
        <w:rPr>
          <w:rFonts w:ascii="Tw Cen MT" w:hAnsi="Tw Cen MT"/>
          <w:sz w:val="18"/>
        </w:rPr>
        <w:t>Tlak Gajger, I., M. I. Smodiš Škerl, P. Šoštarić, J. Šuran, P. Sikirić, J. Vlainić (2021): Physiological and Immunological Status of Adult Honeybees (</w:t>
      </w:r>
      <w:r w:rsidRPr="00886B28">
        <w:rPr>
          <w:rFonts w:ascii="Tw Cen MT" w:hAnsi="Tw Cen MT"/>
          <w:i/>
          <w:iCs/>
          <w:sz w:val="18"/>
        </w:rPr>
        <w:t>Apis mellifera</w:t>
      </w:r>
      <w:r w:rsidRPr="00886B28">
        <w:rPr>
          <w:rFonts w:ascii="Tw Cen MT" w:hAnsi="Tw Cen MT"/>
          <w:sz w:val="18"/>
        </w:rPr>
        <w:t>) Fed Sugar Syrup Supplemented with Pentadecapeptide BPC 157. Biology 10, 9, 891. doi.org/10.3390/biology10090891</w:t>
      </w:r>
    </w:p>
    <w:p w14:paraId="5BC598C9" w14:textId="1DCEEE8B" w:rsidR="00950582" w:rsidRPr="00886B28" w:rsidRDefault="00950582" w:rsidP="00950582">
      <w:pPr>
        <w:pStyle w:val="ListParagraph"/>
        <w:numPr>
          <w:ilvl w:val="0"/>
          <w:numId w:val="3"/>
        </w:numPr>
        <w:rPr>
          <w:rFonts w:ascii="Tw Cen MT" w:hAnsi="Tw Cen MT"/>
          <w:sz w:val="18"/>
        </w:rPr>
      </w:pPr>
      <w:r w:rsidRPr="00886B28">
        <w:rPr>
          <w:rFonts w:ascii="Tw Cen MT" w:hAnsi="Tw Cen MT"/>
          <w:sz w:val="18"/>
        </w:rPr>
        <w:t>Tlak Gajger, I., J. Vlainić, P. Šoštarić, J. Prešern, J. Bubnič, M. I. Smodiš Škerl (2020): Effects on some therapeutical, biochemical, and immunological parameters of honey bee (</w:t>
      </w:r>
      <w:r w:rsidRPr="00886B28">
        <w:rPr>
          <w:rFonts w:ascii="Tw Cen MT" w:hAnsi="Tw Cen MT"/>
          <w:i/>
          <w:iCs/>
          <w:sz w:val="18"/>
        </w:rPr>
        <w:t>Apis mellifera</w:t>
      </w:r>
      <w:r w:rsidRPr="00886B28">
        <w:rPr>
          <w:rFonts w:ascii="Tw Cen MT" w:hAnsi="Tw Cen MT"/>
          <w:sz w:val="18"/>
        </w:rPr>
        <w:t>) exposed to probiotic treatments, in field and laboratory conditions. Insects 11, 9, 638. doi:10.3390/insects11090638</w:t>
      </w:r>
    </w:p>
    <w:p w14:paraId="2CC978C5" w14:textId="77777777" w:rsidR="00395B37" w:rsidRPr="00886B28" w:rsidRDefault="00395B37" w:rsidP="00395B37">
      <w:pPr>
        <w:pStyle w:val="ListParagraph"/>
        <w:numPr>
          <w:ilvl w:val="0"/>
          <w:numId w:val="3"/>
        </w:numPr>
        <w:rPr>
          <w:rFonts w:ascii="Tw Cen MT" w:hAnsi="Tw Cen MT"/>
          <w:sz w:val="18"/>
        </w:rPr>
      </w:pPr>
      <w:r w:rsidRPr="00886B28">
        <w:rPr>
          <w:rFonts w:ascii="Tw Cen MT" w:hAnsi="Tw Cen MT"/>
          <w:sz w:val="18"/>
        </w:rPr>
        <w:t>Tlak Gajger, I., S. A. Dar (2021): Plant allelochemicals as sources of insecticides. Insects 12, 189. doi.org/10.3390/insects12030189</w:t>
      </w:r>
    </w:p>
    <w:p w14:paraId="0D9EFCAD" w14:textId="70A18990" w:rsidR="00950582" w:rsidRPr="00886B28" w:rsidRDefault="00950582" w:rsidP="00950582">
      <w:pPr>
        <w:pStyle w:val="ListParagraph"/>
        <w:numPr>
          <w:ilvl w:val="0"/>
          <w:numId w:val="3"/>
        </w:numPr>
        <w:rPr>
          <w:rFonts w:ascii="Tw Cen MT" w:hAnsi="Tw Cen MT"/>
          <w:sz w:val="18"/>
        </w:rPr>
      </w:pPr>
      <w:r w:rsidRPr="00886B28">
        <w:rPr>
          <w:rFonts w:ascii="Tw Cen MT" w:hAnsi="Tw Cen MT"/>
          <w:sz w:val="18"/>
        </w:rPr>
        <w:t xml:space="preserve">Tlak Gajger, I., J. Ribarić, M. Smodiš Škerl, J. Vlainić, P. Sikirić (2018): Stable gastric pentadecapeptide BPC 157 in honeybee (Apis mellifera) therapy, to control </w:t>
      </w:r>
      <w:r w:rsidRPr="00886B28">
        <w:rPr>
          <w:rFonts w:ascii="Tw Cen MT" w:hAnsi="Tw Cen MT"/>
          <w:i/>
          <w:iCs/>
          <w:sz w:val="18"/>
        </w:rPr>
        <w:t>Nosema ceranae</w:t>
      </w:r>
      <w:r w:rsidRPr="00886B28">
        <w:rPr>
          <w:rFonts w:ascii="Tw Cen MT" w:hAnsi="Tw Cen MT"/>
          <w:sz w:val="18"/>
        </w:rPr>
        <w:t xml:space="preserve"> invasions in apiary conditions. J. Vet. Pharmacol. Therap. 41, 4, 614-621. doi.org/10.1111/jvp.12509</w:t>
      </w:r>
    </w:p>
    <w:p w14:paraId="6705B544" w14:textId="0173DC44" w:rsidR="00395B37" w:rsidRPr="00886B28" w:rsidRDefault="00950582" w:rsidP="00950582">
      <w:pPr>
        <w:pStyle w:val="ListParagraph"/>
        <w:numPr>
          <w:ilvl w:val="0"/>
          <w:numId w:val="3"/>
        </w:numPr>
        <w:rPr>
          <w:rFonts w:ascii="Tw Cen MT" w:hAnsi="Tw Cen MT"/>
          <w:sz w:val="18"/>
        </w:rPr>
      </w:pPr>
      <w:r w:rsidRPr="00886B28">
        <w:rPr>
          <w:rFonts w:ascii="Tw Cen MT" w:hAnsi="Tw Cen MT"/>
          <w:sz w:val="18"/>
        </w:rPr>
        <w:t>Tlak Gajger, I., M. Sakač, A. Gregorc (2017): Impact of Thiamethoxam on Honey Bee Qeeen (</w:t>
      </w:r>
      <w:r w:rsidRPr="00886B28">
        <w:rPr>
          <w:rFonts w:ascii="Tw Cen MT" w:hAnsi="Tw Cen MT"/>
          <w:i/>
          <w:iCs/>
          <w:sz w:val="18"/>
        </w:rPr>
        <w:t>Apis mellifera</w:t>
      </w:r>
      <w:r w:rsidRPr="00886B28">
        <w:rPr>
          <w:rFonts w:ascii="Tw Cen MT" w:hAnsi="Tw Cen MT"/>
          <w:sz w:val="18"/>
        </w:rPr>
        <w:t xml:space="preserve">) Reproductive Morphology and Physiology. Bull. Environ Contam. Toxicol. 99, 3, 297-302. </w:t>
      </w:r>
      <w:r w:rsidR="00677216" w:rsidRPr="00886B28">
        <w:rPr>
          <w:rFonts w:ascii="Tw Cen MT" w:hAnsi="Tw Cen MT"/>
          <w:sz w:val="18"/>
        </w:rPr>
        <w:t>d</w:t>
      </w:r>
      <w:r w:rsidRPr="00886B28">
        <w:rPr>
          <w:rFonts w:ascii="Tw Cen MT" w:hAnsi="Tw Cen MT"/>
          <w:sz w:val="18"/>
        </w:rPr>
        <w:t>oi 10.1007/s00128-017-2144-0</w:t>
      </w:r>
    </w:p>
    <w:p w14:paraId="016556CC" w14:textId="77777777" w:rsidR="00395B37" w:rsidRPr="00886B28" w:rsidRDefault="00395B37" w:rsidP="00950582">
      <w:pPr>
        <w:pStyle w:val="ListParagraph"/>
        <w:tabs>
          <w:tab w:val="left" w:pos="384"/>
        </w:tabs>
        <w:spacing w:line="216" w:lineRule="exact"/>
        <w:ind w:right="137" w:firstLine="0"/>
        <w:rPr>
          <w:rFonts w:ascii="Tw Cen MT" w:hAnsi="Tw Cen MT"/>
          <w:sz w:val="18"/>
        </w:rPr>
      </w:pPr>
    </w:p>
    <w:p w14:paraId="10AB1EF0" w14:textId="6D0CD1AF"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FCEA5A5" w14:textId="0BE14D9C" w:rsidR="00AE3E37" w:rsidRPr="00D62425" w:rsidRDefault="00AE3E37">
      <w:pPr>
        <w:pStyle w:val="BodyText"/>
        <w:rPr>
          <w:rFonts w:ascii="Calibri"/>
          <w:b/>
          <w:sz w:val="20"/>
        </w:rPr>
      </w:pPr>
    </w:p>
    <w:p w14:paraId="05B5773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BD03786" wp14:editId="2DEEFE9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07F21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DAB75BD" w14:textId="3098E2A3" w:rsidR="00AE3E37" w:rsidRDefault="008756E6" w:rsidP="00404E5B">
      <w:pPr>
        <w:spacing w:before="92"/>
        <w:ind w:right="4234"/>
        <w:rPr>
          <w:rFonts w:ascii="Arial"/>
        </w:rPr>
      </w:pPr>
      <w:r>
        <w:rPr>
          <w:noProof/>
        </w:rPr>
        <w:t xml:space="preserve">              </w:t>
      </w:r>
      <w:r w:rsidR="00ED4433">
        <w:rPr>
          <w:noProof/>
        </w:rPr>
        <w:drawing>
          <wp:inline distT="0" distB="0" distL="0" distR="0" wp14:anchorId="0283DE7E" wp14:editId="1F839228">
            <wp:extent cx="505327" cy="673422"/>
            <wp:effectExtent l="0" t="0" r="9525" b="0"/>
            <wp:docPr id="4" name="Picture 4" descr="A person with dark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with dark hair&#10;&#10;Description automatically generated with low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4744" cy="685972"/>
                    </a:xfrm>
                    <a:prstGeom prst="rect">
                      <a:avLst/>
                    </a:prstGeom>
                    <a:noFill/>
                    <a:ln>
                      <a:noFill/>
                    </a:ln>
                  </pic:spPr>
                </pic:pic>
              </a:graphicData>
            </a:graphic>
          </wp:inline>
        </w:drawing>
      </w:r>
    </w:p>
    <w:p w14:paraId="55D097B2" w14:textId="1880E508" w:rsidR="00AE3E37" w:rsidRPr="00A74CEB" w:rsidRDefault="00A74CEB" w:rsidP="00A74CEB">
      <w:pPr>
        <w:spacing w:before="41" w:line="154" w:lineRule="exact"/>
        <w:ind w:left="213" w:right="231"/>
        <w:jc w:val="both"/>
        <w:rPr>
          <w:rFonts w:ascii="Arial"/>
          <w:bCs/>
          <w:sz w:val="14"/>
          <w:lang w:val="hr-HR"/>
        </w:rPr>
      </w:pPr>
      <w:r>
        <w:rPr>
          <w:rFonts w:ascii="Arial"/>
          <w:bCs/>
          <w:sz w:val="14"/>
          <w:lang w:val="hr-HR"/>
        </w:rPr>
        <w:t xml:space="preserve">Since 2006 </w:t>
      </w:r>
      <w:r w:rsidR="00ED4433">
        <w:rPr>
          <w:rFonts w:ascii="Arial"/>
          <w:bCs/>
          <w:sz w:val="14"/>
          <w:lang w:val="hr-HR"/>
        </w:rPr>
        <w:t xml:space="preserve">Ivana Tlak Gajger </w:t>
      </w:r>
      <w:r w:rsidR="00ED4433" w:rsidRPr="00ED4433">
        <w:rPr>
          <w:rFonts w:ascii="Arial"/>
          <w:bCs/>
          <w:sz w:val="14"/>
          <w:lang w:val="hr-HR"/>
        </w:rPr>
        <w:t>has been employed at the Department for Biology and Pathology of Fish and Bees, Faculty of Veterinary Medicine</w:t>
      </w:r>
      <w:r>
        <w:rPr>
          <w:rFonts w:ascii="Arial"/>
          <w:bCs/>
          <w:sz w:val="14"/>
          <w:lang w:val="hr-HR"/>
        </w:rPr>
        <w:t xml:space="preserve"> University of Zagreb, Croatia</w:t>
      </w:r>
      <w:r w:rsidR="00ED4433" w:rsidRPr="00ED4433">
        <w:rPr>
          <w:rFonts w:ascii="Arial"/>
          <w:bCs/>
          <w:sz w:val="14"/>
          <w:lang w:val="hr-HR"/>
        </w:rPr>
        <w:t>, where she is still working as Full Professor. Besides activities in scientific and research work she is active as lecturer of mandatory and elective courses from field of biology and pathology of beneficial insects. She is course leader for mandatory undergraduate course Biology and Pathology of Bees, and elective course Honeybee diseases in intensive production, at the study of Veterinary Medicine in English. She was supervisor of 3</w:t>
      </w:r>
      <w:r>
        <w:rPr>
          <w:rFonts w:ascii="Arial"/>
          <w:bCs/>
          <w:sz w:val="14"/>
          <w:lang w:val="hr-HR"/>
        </w:rPr>
        <w:t>9</w:t>
      </w:r>
      <w:r w:rsidR="00ED4433" w:rsidRPr="00ED4433">
        <w:rPr>
          <w:rFonts w:ascii="Arial"/>
          <w:bCs/>
          <w:sz w:val="14"/>
          <w:lang w:val="hr-HR"/>
        </w:rPr>
        <w:t xml:space="preserve"> graduate and two doctoral students. She is Head of postgraduate master study programme </w:t>
      </w:r>
      <w:r w:rsidR="00ED4433" w:rsidRPr="00ED4433">
        <w:rPr>
          <w:rFonts w:ascii="Arial"/>
          <w:bCs/>
          <w:i/>
          <w:sz w:val="14"/>
          <w:lang w:val="hr-HR"/>
        </w:rPr>
        <w:t>Honeybee Health Protection</w:t>
      </w:r>
      <w:r w:rsidR="00ED4433" w:rsidRPr="00ED4433">
        <w:rPr>
          <w:rFonts w:ascii="Arial"/>
          <w:bCs/>
          <w:sz w:val="14"/>
          <w:lang w:val="hr-HR"/>
        </w:rPr>
        <w:t xml:space="preserve"> in English language.</w:t>
      </w:r>
      <w:r>
        <w:rPr>
          <w:rFonts w:ascii="Arial"/>
          <w:bCs/>
          <w:sz w:val="14"/>
          <w:lang w:val="hr-HR"/>
        </w:rPr>
        <w:t xml:space="preserve"> </w:t>
      </w:r>
      <w:r w:rsidR="00ED4433" w:rsidRPr="00ED4433">
        <w:rPr>
          <w:rFonts w:ascii="Arial"/>
          <w:bCs/>
          <w:sz w:val="14"/>
          <w:lang w:val="hr-HR"/>
        </w:rPr>
        <w:t xml:space="preserve">Also, she is Head of accredited (according to HRN EN ISO/IEC 17025), offical and reference National Reference Laboratory for Honeybee Diseases APISlab and participate to perform professional and clinic work in field conditions. </w:t>
      </w:r>
    </w:p>
    <w:p w14:paraId="36C75849" w14:textId="60706B96" w:rsidR="00AE3E37" w:rsidRPr="00F305AF" w:rsidRDefault="00A9710C" w:rsidP="00F305AF">
      <w:pPr>
        <w:spacing w:before="62"/>
        <w:ind w:left="4217" w:right="4235"/>
        <w:jc w:val="center"/>
        <w:rPr>
          <w:rFonts w:ascii="Arial"/>
          <w:sz w:val="14"/>
        </w:rPr>
        <w:sectPr w:rsidR="00AE3E37" w:rsidRPr="00F305AF">
          <w:type w:val="continuous"/>
          <w:pgSz w:w="11910" w:h="16840"/>
          <w:pgMar w:top="1740" w:right="600" w:bottom="840" w:left="620" w:header="720" w:footer="720" w:gutter="0"/>
          <w:cols w:space="720"/>
        </w:sectPr>
      </w:pPr>
      <w:r>
        <w:rPr>
          <w:rFonts w:ascii="Arial"/>
          <w:sz w:val="14"/>
        </w:rPr>
        <w:t>Email</w:t>
      </w:r>
      <w:r w:rsidR="00A74CEB">
        <w:rPr>
          <w:rFonts w:ascii="Arial"/>
          <w:sz w:val="14"/>
        </w:rPr>
        <w:t>: ivana.tlak@vef.uni</w:t>
      </w:r>
      <w:r w:rsidR="00292ED9">
        <w:rPr>
          <w:noProof/>
          <w:lang w:val="en-IN" w:eastAsia="en-IN"/>
        </w:rPr>
        <mc:AlternateContent>
          <mc:Choice Requires="wps">
            <w:drawing>
              <wp:anchor distT="0" distB="0" distL="0" distR="0" simplePos="0" relativeHeight="1072" behindDoc="0" locked="0" layoutInCell="1" allowOverlap="1" wp14:anchorId="35AABC2D" wp14:editId="7201DD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D6BF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r w:rsidR="00D6127E">
        <w:rPr>
          <w:rFonts w:ascii="Arial"/>
          <w:sz w:val="14"/>
        </w:rPr>
        <w:t>zg.hr</w:t>
      </w:r>
    </w:p>
    <w:p w14:paraId="1892AAC2" w14:textId="2200122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8ACDC" w14:textId="77777777" w:rsidR="00040FAF" w:rsidRDefault="00040FAF">
      <w:r>
        <w:separator/>
      </w:r>
    </w:p>
  </w:endnote>
  <w:endnote w:type="continuationSeparator" w:id="0">
    <w:p w14:paraId="44298714" w14:textId="77777777" w:rsidR="00040FAF" w:rsidRDefault="00040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30D6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E096EE" wp14:editId="2AF4E42F">
              <wp:simplePos x="0" y="0"/>
              <wp:positionH relativeFrom="page">
                <wp:posOffset>-3213100</wp:posOffset>
              </wp:positionH>
              <wp:positionV relativeFrom="page">
                <wp:posOffset>10349155</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F4F2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2B56F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E096EE" id="_x0000_t202" coordsize="21600,21600" o:spt="202" path="m,l,21600r21600,l21600,xe">
              <v:stroke joinstyle="miter"/>
              <v:path gradientshapeok="t" o:connecttype="rect"/>
            </v:shapetype>
            <v:shape id="Text Box 3" o:spid="_x0000_s1028" type="#_x0000_t202" style="position:absolute;margin-left:-253pt;margin-top:814.9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" filled="f" stroked="f">
              <v:textbox inset="0,0,0,0">
                <w:txbxContent>
                  <w:p w14:paraId="4D1F4F2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2B56F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6AEA6C6" wp14:editId="3540C5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5977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41A9D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EA6C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5B75977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41A9D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0EF766D" wp14:editId="4D9EE9F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9050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2358E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F766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B59050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2358E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048B0" w14:textId="77777777" w:rsidR="00040FAF" w:rsidRDefault="00040FAF">
      <w:r>
        <w:separator/>
      </w:r>
    </w:p>
  </w:footnote>
  <w:footnote w:type="continuationSeparator" w:id="0">
    <w:p w14:paraId="7D832DC0" w14:textId="77777777" w:rsidR="00040FAF" w:rsidRDefault="00040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3A19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CFD6FDD" wp14:editId="2BF90519">
              <wp:simplePos x="0" y="0"/>
              <wp:positionH relativeFrom="page">
                <wp:posOffset>8577119</wp:posOffset>
              </wp:positionH>
              <wp:positionV relativeFrom="page">
                <wp:posOffset>756863</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83B087" w14:textId="13E181BE"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FD6FDD" id="_x0000_t202" coordsize="21600,21600" o:spt="202" path="m,l,21600r21600,l21600,xe">
              <v:stroke joinstyle="miter"/>
              <v:path gradientshapeok="t" o:connecttype="rect"/>
            </v:shapetype>
            <v:shape id="Text Box 5" o:spid="_x0000_s1026" type="#_x0000_t202" style="position:absolute;margin-left:675.35pt;margin-top:59.6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" filled="f" stroked="f">
              <v:textbox inset="0,0,0,0">
                <w:txbxContent>
                  <w:p w14:paraId="6483B087" w14:textId="13E181BE"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F60DB52" wp14:editId="31CAA31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7CEE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68699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0DB5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5817CEE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68699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4F17"/>
    <w:rsid w:val="00040FAF"/>
    <w:rsid w:val="000E2911"/>
    <w:rsid w:val="000E6B1E"/>
    <w:rsid w:val="001263DF"/>
    <w:rsid w:val="001E763C"/>
    <w:rsid w:val="00292ED9"/>
    <w:rsid w:val="003076BE"/>
    <w:rsid w:val="00314AFB"/>
    <w:rsid w:val="003223FB"/>
    <w:rsid w:val="00395B37"/>
    <w:rsid w:val="003B76D9"/>
    <w:rsid w:val="00404E5B"/>
    <w:rsid w:val="00414F7B"/>
    <w:rsid w:val="004355DC"/>
    <w:rsid w:val="00452407"/>
    <w:rsid w:val="004749B4"/>
    <w:rsid w:val="0047585F"/>
    <w:rsid w:val="00494130"/>
    <w:rsid w:val="004F3523"/>
    <w:rsid w:val="005973B9"/>
    <w:rsid w:val="005B3A56"/>
    <w:rsid w:val="006060CE"/>
    <w:rsid w:val="0063497F"/>
    <w:rsid w:val="00677216"/>
    <w:rsid w:val="00687DC1"/>
    <w:rsid w:val="006D0A87"/>
    <w:rsid w:val="006D687D"/>
    <w:rsid w:val="006F67C8"/>
    <w:rsid w:val="0078738A"/>
    <w:rsid w:val="00807398"/>
    <w:rsid w:val="0083337F"/>
    <w:rsid w:val="00873DF0"/>
    <w:rsid w:val="008756E6"/>
    <w:rsid w:val="00886B28"/>
    <w:rsid w:val="00950582"/>
    <w:rsid w:val="009B2D44"/>
    <w:rsid w:val="00A04886"/>
    <w:rsid w:val="00A07E82"/>
    <w:rsid w:val="00A55F04"/>
    <w:rsid w:val="00A72663"/>
    <w:rsid w:val="00A74CEB"/>
    <w:rsid w:val="00A9710C"/>
    <w:rsid w:val="00AE3E37"/>
    <w:rsid w:val="00B1006D"/>
    <w:rsid w:val="00B21A57"/>
    <w:rsid w:val="00B36D3F"/>
    <w:rsid w:val="00B90278"/>
    <w:rsid w:val="00C30509"/>
    <w:rsid w:val="00C33602"/>
    <w:rsid w:val="00C50617"/>
    <w:rsid w:val="00C9701D"/>
    <w:rsid w:val="00CD6F55"/>
    <w:rsid w:val="00D6127E"/>
    <w:rsid w:val="00D62425"/>
    <w:rsid w:val="00DE3104"/>
    <w:rsid w:val="00E03802"/>
    <w:rsid w:val="00E05B4F"/>
    <w:rsid w:val="00E44A0A"/>
    <w:rsid w:val="00E6587E"/>
    <w:rsid w:val="00ED4433"/>
    <w:rsid w:val="00F305AF"/>
    <w:rsid w:val="00F72EEA"/>
    <w:rsid w:val="00F8136A"/>
    <w:rsid w:val="00F84CAE"/>
    <w:rsid w:val="00FB38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69376"/>
  <w15:docId w15:val="{08FFE8AA-AFD5-4BAE-8F36-F053606A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Ivana Tlak Gajger</cp:lastModifiedBy>
  <cp:revision>11</cp:revision>
  <dcterms:created xsi:type="dcterms:W3CDTF">2021-12-11T22:15:00Z</dcterms:created>
  <dcterms:modified xsi:type="dcterms:W3CDTF">2021-12-12T21:48:00Z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