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Minion Pro" w:hAnsi="Minion Pro" w:eastAsia="Minion Pro" w:cs="Minion Pro"/>
          <w:b/>
          <w:bCs/>
          <w:color w:val="337AB7"/>
          <w:sz w:val="36"/>
          <w:szCs w:val="36"/>
          <w:lang w:val="en-US" w:eastAsia="en-US" w:bidi="ar-SA"/>
        </w:rPr>
      </w:pPr>
      <w:r>
        <w:rPr>
          <w:rFonts w:hint="eastAsia" w:ascii="Minion Pro" w:hAnsi="Minion Pro" w:eastAsia="Minion Pro" w:cs="Minion Pro"/>
          <w:b/>
          <w:bCs/>
          <w:color w:val="337AB7"/>
          <w:sz w:val="36"/>
          <w:szCs w:val="36"/>
          <w:lang w:val="en-US" w:eastAsia="en-US" w:bidi="ar-SA"/>
        </w:rPr>
        <w:t>Early warning for ovarian diseases disease in dairy cows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73" w:line="198" w:lineRule="exact"/>
        <w:ind w:left="40" w:leftChars="18" w:right="0"/>
        <w:textAlignment w:val="auto"/>
        <w:rPr>
          <w:rFonts w:hint="eastAsia" w:ascii="Arial" w:hAnsi="Tw Cen MT" w:eastAsia="Tw Cen MT" w:cs="Tw Cen MT"/>
          <w:sz w:val="18"/>
          <w:szCs w:val="18"/>
          <w:lang w:val="en-US" w:eastAsia="en-US" w:bidi="ar-SA"/>
        </w:rPr>
      </w:pPr>
      <w:r>
        <w:rPr>
          <w:rFonts w:ascii="Arial" w:hAnsi="Tw Cen MT" w:eastAsia="Tw Cen MT" w:cs="Tw Cen MT"/>
          <w:sz w:val="18"/>
          <w:szCs w:val="18"/>
          <w:lang w:val="en-US" w:eastAsia="en-US" w:bidi="ar-SA"/>
        </w:rPr>
        <w:t>Dr</w:t>
      </w:r>
      <w:r>
        <w:rPr>
          <w:rFonts w:hint="eastAsia" w:ascii="Arial" w:hAnsi="Tw Cen MT" w:eastAsia="Tw Cen MT" w:cs="Tw Cen MT"/>
          <w:sz w:val="18"/>
          <w:szCs w:val="18"/>
          <w:lang w:val="en-US" w:eastAsia="en-US" w:bidi="ar-SA"/>
        </w:rPr>
        <w:t xml:space="preserve"> Yuxi</w:t>
      </w:r>
      <w:r>
        <w:rPr>
          <w:rFonts w:hint="eastAsia" w:ascii="Arial" w:eastAsia="宋体" w:cs="Tw Cen MT"/>
          <w:sz w:val="18"/>
          <w:szCs w:val="18"/>
          <w:lang w:val="en-US" w:eastAsia="zh-CN" w:bidi="ar-SA"/>
        </w:rPr>
        <w:t xml:space="preserve"> </w:t>
      </w:r>
      <w:r>
        <w:rPr>
          <w:rFonts w:hint="eastAsia" w:ascii="Arial" w:hAnsi="Tw Cen MT" w:eastAsia="Tw Cen MT" w:cs="Tw Cen MT"/>
          <w:sz w:val="18"/>
          <w:szCs w:val="18"/>
          <w:lang w:val="en-US" w:eastAsia="en-US" w:bidi="ar-SA"/>
        </w:rPr>
        <w:t>Song</w:t>
      </w:r>
      <w:r>
        <w:rPr>
          <w:rFonts w:ascii="Arial" w:hAnsi="Tw Cen MT" w:eastAsia="Tw Cen MT" w:cs="Tw Cen MT"/>
          <w:sz w:val="18"/>
          <w:szCs w:val="18"/>
          <w:lang w:val="en-US" w:eastAsia="en-US" w:bidi="ar-SA"/>
        </w:rPr>
        <w:t xml:space="preserve">, </w:t>
      </w:r>
      <w:r>
        <w:rPr>
          <w:rFonts w:hint="eastAsia" w:ascii="Arial" w:eastAsia="宋体" w:cs="Tw Cen MT"/>
          <w:sz w:val="18"/>
          <w:szCs w:val="18"/>
          <w:lang w:val="en-US" w:eastAsia="zh-CN" w:bidi="ar-SA"/>
        </w:rPr>
        <w:t>VM</w:t>
      </w:r>
      <w:r>
        <w:rPr>
          <w:rFonts w:ascii="Arial" w:hAnsi="Tw Cen MT" w:eastAsia="Tw Cen MT" w:cs="Tw Cen MT"/>
          <w:sz w:val="18"/>
          <w:szCs w:val="18"/>
          <w:lang w:val="en-US" w:eastAsia="en-US" w:bidi="ar-SA"/>
        </w:rPr>
        <w:t xml:space="preserve"> PhD, </w:t>
      </w:r>
      <w:r>
        <w:rPr>
          <w:rFonts w:hint="default" w:ascii="Arial" w:hAnsi="Tw Cen MT" w:eastAsia="Tw Cen MT" w:cs="Tw Cen MT"/>
          <w:sz w:val="18"/>
          <w:szCs w:val="18"/>
          <w:lang w:val="en-US" w:eastAsia="en-US" w:bidi="ar-SA"/>
        </w:rPr>
        <w:t>Heilongjiang Bayi Agriculture</w:t>
      </w:r>
      <w:r>
        <w:rPr>
          <w:rFonts w:hint="eastAsia" w:ascii="Arial" w:hAnsi="Tw Cen MT" w:eastAsia="Tw Cen MT" w:cs="Tw Cen MT"/>
          <w:sz w:val="18"/>
          <w:szCs w:val="18"/>
          <w:lang w:val="en-US" w:eastAsia="zh-CN" w:bidi="ar-SA"/>
        </w:rPr>
        <w:t xml:space="preserve"> </w:t>
      </w:r>
      <w:r>
        <w:rPr>
          <w:rFonts w:hint="default" w:ascii="Arial" w:hAnsi="Tw Cen MT" w:eastAsia="Tw Cen MT" w:cs="Tw Cen MT"/>
          <w:sz w:val="18"/>
          <w:szCs w:val="18"/>
          <w:lang w:val="en-US" w:eastAsia="en-US" w:bidi="ar-SA"/>
        </w:rPr>
        <w:t>University, China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73" w:line="198" w:lineRule="exact"/>
        <w:ind w:left="40" w:leftChars="18" w:right="0"/>
        <w:textAlignment w:val="auto"/>
        <w:rPr>
          <w:rFonts w:ascii="Arial"/>
        </w:rPr>
      </w:pPr>
      <w:r>
        <w:rPr>
          <w:rFonts w:ascii="Arial"/>
        </w:rPr>
        <w:t>Dr</w:t>
      </w:r>
      <w:r>
        <w:rPr>
          <w:rFonts w:hint="eastAsia" w:ascii="Arial"/>
          <w:lang w:val="en-US" w:eastAsia="zh-CN"/>
        </w:rPr>
        <w:t xml:space="preserve"> Cheng Xia</w:t>
      </w:r>
      <w:r>
        <w:rPr>
          <w:rFonts w:ascii="Arial"/>
        </w:rPr>
        <w:t xml:space="preserve">, </w:t>
      </w:r>
      <w:r>
        <w:rPr>
          <w:rFonts w:hint="eastAsia" w:ascii="Arial" w:eastAsia="宋体"/>
          <w:lang w:val="en-US" w:eastAsia="zh-CN"/>
        </w:rPr>
        <w:t>VM</w:t>
      </w:r>
      <w:bookmarkStart w:id="0" w:name="_GoBack"/>
      <w:bookmarkEnd w:id="0"/>
      <w:r>
        <w:rPr>
          <w:rFonts w:ascii="Arial"/>
        </w:rPr>
        <w:t xml:space="preserve"> PhD, </w:t>
      </w:r>
      <w:r>
        <w:rPr>
          <w:rFonts w:hint="default" w:ascii="Arial" w:hAnsi="Tw Cen MT" w:eastAsia="Tw Cen MT" w:cs="Tw Cen MT"/>
          <w:sz w:val="18"/>
          <w:szCs w:val="18"/>
          <w:lang w:val="en-US" w:eastAsia="en-US" w:bidi="ar-SA"/>
        </w:rPr>
        <w:t>Heilongjiang Bayi Agriculture</w:t>
      </w:r>
      <w:r>
        <w:rPr>
          <w:rFonts w:hint="eastAsia" w:ascii="Arial" w:hAnsi="Tw Cen MT" w:eastAsia="Tw Cen MT" w:cs="Tw Cen MT"/>
          <w:sz w:val="18"/>
          <w:szCs w:val="18"/>
          <w:lang w:val="en-US" w:eastAsia="zh-CN" w:bidi="ar-SA"/>
        </w:rPr>
        <w:t xml:space="preserve"> </w:t>
      </w:r>
      <w:r>
        <w:rPr>
          <w:rFonts w:hint="default" w:ascii="Arial" w:hAnsi="Tw Cen MT" w:eastAsia="Tw Cen MT" w:cs="Tw Cen MT"/>
          <w:sz w:val="18"/>
          <w:szCs w:val="18"/>
          <w:lang w:val="en-US" w:eastAsia="en-US" w:bidi="ar-SA"/>
        </w:rPr>
        <w:t>University, China</w:t>
      </w:r>
    </w:p>
    <w:p>
      <w:pPr>
        <w:pStyle w:val="5"/>
        <w:rPr>
          <w:rFonts w:ascii="Arial"/>
          <w:sz w:val="20"/>
        </w:rPr>
      </w:pPr>
    </w:p>
    <w:p>
      <w:pPr>
        <w:pStyle w:val="5"/>
        <w:spacing w:before="3"/>
        <w:rPr>
          <w:rFonts w:ascii="Arial"/>
          <w:sz w:val="21"/>
        </w:rPr>
      </w:pPr>
    </w:p>
    <w:p>
      <w:pPr>
        <w:rPr>
          <w:rFonts w:ascii="Arial"/>
          <w:sz w:val="21"/>
        </w:rPr>
        <w:sectPr>
          <w:headerReference r:id="rId3" w:type="default"/>
          <w:footerReference r:id="rId4" w:type="default"/>
          <w:type w:val="continuous"/>
          <w:pgSz w:w="11910" w:h="16840"/>
          <w:pgMar w:top="1740" w:right="600" w:bottom="840" w:left="620" w:header="541" w:footer="642" w:gutter="0"/>
          <w:cols w:space="720" w:num="1"/>
        </w:sectPr>
      </w:pPr>
    </w:p>
    <w:p>
      <w:pPr>
        <w:pStyle w:val="4"/>
        <w:spacing w:before="147"/>
        <w:jc w:val="both"/>
      </w:pPr>
      <w:r>
        <w:rPr>
          <w:color w:val="BF5A14"/>
        </w:rPr>
        <w:t>Abstract (300 word limit)</w:t>
      </w:r>
    </w:p>
    <w:p>
      <w:pPr>
        <w:pStyle w:val="5"/>
        <w:spacing w:before="90" w:line="280" w:lineRule="auto"/>
        <w:ind w:left="100"/>
        <w:jc w:val="both"/>
      </w:pPr>
      <w:r>
        <w:t xml:space="preserve">Statement of the Problem: </w:t>
      </w:r>
      <w:r>
        <w:rPr>
          <w:rFonts w:hint="eastAsia"/>
          <w:lang w:val="en-US" w:eastAsia="zh-CN"/>
        </w:rPr>
        <w:t>Inactive ovaries (IO)</w:t>
      </w:r>
      <w:r>
        <w:rPr>
          <w:rFonts w:hint="default"/>
        </w:rPr>
        <w:t xml:space="preserve"> </w:t>
      </w:r>
      <w:r>
        <w:rPr>
          <w:rFonts w:hint="eastAsia"/>
          <w:lang w:val="en-US" w:eastAsia="zh-CN"/>
        </w:rPr>
        <w:t>and ovarian cysts (OC) are</w:t>
      </w:r>
      <w:r>
        <w:rPr>
          <w:rFonts w:hint="default"/>
        </w:rPr>
        <w:t xml:space="preserve"> </w:t>
      </w:r>
      <w:r>
        <w:rPr>
          <w:rFonts w:hint="eastAsia"/>
          <w:lang w:val="en-US" w:eastAsia="zh-CN"/>
        </w:rPr>
        <w:t xml:space="preserve">two common ovarian </w:t>
      </w:r>
      <w:r>
        <w:rPr>
          <w:rFonts w:hint="default"/>
        </w:rPr>
        <w:t>disease</w:t>
      </w:r>
      <w:r>
        <w:rPr>
          <w:rFonts w:hint="eastAsia"/>
          <w:lang w:val="en-US" w:eastAsia="zh-CN"/>
        </w:rPr>
        <w:t>s (OD)</w:t>
      </w:r>
      <w:r>
        <w:rPr>
          <w:rFonts w:hint="default"/>
        </w:rPr>
        <w:t xml:space="preserve"> </w:t>
      </w:r>
      <w:r>
        <w:rPr>
          <w:rFonts w:hint="eastAsia"/>
          <w:lang w:val="en-US" w:eastAsia="zh-CN"/>
        </w:rPr>
        <w:t>leading to infertility in dairy cattle</w:t>
      </w:r>
      <w:r>
        <w:rPr>
          <w:rFonts w:hint="default"/>
        </w:rPr>
        <w:t>.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The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cysts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can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be</w:t>
      </w:r>
      <w:r>
        <w:rPr>
          <w:rFonts w:hint="eastAsia"/>
          <w:lang w:val="en-US" w:eastAsia="zh-CN"/>
        </w:rPr>
        <w:t xml:space="preserve"> subdivided </w:t>
      </w:r>
      <w:r>
        <w:rPr>
          <w:rFonts w:hint="default"/>
          <w:lang w:val="en-US" w:eastAsia="zh-CN"/>
        </w:rPr>
        <w:t>into</w:t>
      </w:r>
      <w:r>
        <w:rPr>
          <w:rFonts w:hint="eastAsia"/>
          <w:lang w:val="en-US" w:eastAsia="zh-CN"/>
        </w:rPr>
        <w:t xml:space="preserve"> follicular cysts (FC) or corpus luteum cysts (LC). Both </w:t>
      </w:r>
      <w:r>
        <w:rPr>
          <w:rFonts w:hint="default"/>
          <w:lang w:val="en-US" w:eastAsia="zh-CN"/>
        </w:rPr>
        <w:t>disorders are associated with</w:t>
      </w:r>
      <w:r>
        <w:rPr>
          <w:rFonts w:hint="eastAsia"/>
          <w:lang w:val="en-US" w:eastAsia="zh-CN"/>
        </w:rPr>
        <w:t xml:space="preserve"> altered </w:t>
      </w:r>
      <w:r>
        <w:rPr>
          <w:rFonts w:hint="default"/>
          <w:lang w:val="en-US" w:eastAsia="zh-CN"/>
        </w:rPr>
        <w:t>metabolites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and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hormones</w:t>
      </w:r>
      <w:r>
        <w:rPr>
          <w:rFonts w:hint="eastAsia"/>
          <w:lang w:val="en-US" w:eastAsia="zh-CN"/>
        </w:rPr>
        <w:t xml:space="preserve">. </w:t>
      </w:r>
      <w:r>
        <w:rPr>
          <w:rFonts w:hint="default"/>
          <w:lang w:val="en-US" w:eastAsia="zh-CN"/>
        </w:rPr>
        <w:t>There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are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currently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no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 xml:space="preserve">known </w:t>
      </w:r>
      <w:r>
        <w:rPr>
          <w:rFonts w:hint="eastAsia"/>
          <w:lang w:val="en-US" w:eastAsia="zh-CN"/>
        </w:rPr>
        <w:t>effective bio</w:t>
      </w:r>
      <w:r>
        <w:rPr>
          <w:rFonts w:hint="default"/>
          <w:lang w:val="en-US" w:eastAsia="zh-CN"/>
        </w:rPr>
        <w:t>markers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that can be used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for</w:t>
      </w:r>
      <w:r>
        <w:rPr>
          <w:rFonts w:hint="eastAsia"/>
          <w:lang w:val="en-US" w:eastAsia="zh-CN"/>
        </w:rPr>
        <w:t xml:space="preserve"> OD </w:t>
      </w:r>
      <w:r>
        <w:rPr>
          <w:rFonts w:hint="default"/>
          <w:lang w:val="en-US" w:eastAsia="zh-CN"/>
        </w:rPr>
        <w:t>early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diagnosis</w:t>
      </w:r>
      <w:r>
        <w:rPr>
          <w:rFonts w:hint="eastAsia"/>
          <w:lang w:val="en-US" w:eastAsia="zh-CN"/>
        </w:rPr>
        <w:t xml:space="preserve">. </w:t>
      </w:r>
      <w:r>
        <w:rPr>
          <w:rFonts w:hint="default"/>
          <w:lang w:val="en-US" w:eastAsia="zh-CN"/>
        </w:rPr>
        <w:t xml:space="preserve">The purpose of this study was to identify the plasma biomarkers of the </w:t>
      </w:r>
      <w:r>
        <w:rPr>
          <w:rFonts w:hint="eastAsia"/>
          <w:lang w:val="en-US" w:eastAsia="zh-CN"/>
        </w:rPr>
        <w:t>OD</w:t>
      </w:r>
      <w:r>
        <w:rPr>
          <w:rFonts w:hint="default"/>
          <w:lang w:val="en-US" w:eastAsia="zh-CN"/>
        </w:rPr>
        <w:t xml:space="preserve"> in Holstein dairy cows that facilitate an early diagnosis of the disease</w:t>
      </w:r>
      <w:r>
        <w:rPr>
          <w:rFonts w:hint="eastAsia"/>
          <w:lang w:val="en-US" w:eastAsia="zh-CN"/>
        </w:rPr>
        <w:t>s</w:t>
      </w:r>
      <w:r>
        <w:rPr>
          <w:rFonts w:hint="default"/>
          <w:lang w:val="en-US" w:eastAsia="zh-CN"/>
        </w:rPr>
        <w:t xml:space="preserve"> and control its progression.</w:t>
      </w:r>
      <w:r>
        <w:rPr>
          <w:rFonts w:hint="eastAsia"/>
          <w:lang w:val="en-US" w:eastAsia="zh-CN"/>
        </w:rPr>
        <w:t xml:space="preserve"> </w:t>
      </w:r>
      <w:r>
        <w:t>Methodology &amp; Theoretical Orientation:</w:t>
      </w:r>
      <w:r>
        <w:t xml:space="preserve"> </w:t>
      </w:r>
      <w:r>
        <w:rPr>
          <w:rFonts w:hint="default"/>
          <w:lang w:val="en-US" w:eastAsia="zh-CN"/>
        </w:rPr>
        <w:t>The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experiment was performed from</w:t>
      </w:r>
      <w:r>
        <w:rPr>
          <w:rFonts w:hint="eastAsia"/>
          <w:lang w:val="en-US" w:eastAsia="zh-CN"/>
        </w:rPr>
        <w:t xml:space="preserve"> 21 </w:t>
      </w:r>
      <w:r>
        <w:rPr>
          <w:rFonts w:hint="default"/>
          <w:lang w:val="en-US" w:eastAsia="zh-CN"/>
        </w:rPr>
        <w:t>days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postpartum and last for</w:t>
      </w:r>
      <w:r>
        <w:rPr>
          <w:rFonts w:hint="eastAsia"/>
          <w:lang w:val="en-US" w:eastAsia="zh-CN"/>
        </w:rPr>
        <w:t xml:space="preserve"> 4</w:t>
      </w:r>
      <w:r>
        <w:rPr>
          <w:rFonts w:hint="default"/>
          <w:lang w:val="en-US" w:eastAsia="zh-CN"/>
        </w:rPr>
        <w:t xml:space="preserve"> weeks</w:t>
      </w:r>
      <w:r>
        <w:rPr>
          <w:rFonts w:hint="eastAsia"/>
          <w:lang w:val="en-US" w:eastAsia="zh-CN"/>
        </w:rPr>
        <w:t xml:space="preserve">. Forty </w:t>
      </w:r>
      <w:r>
        <w:rPr>
          <w:rFonts w:hint="default"/>
          <w:lang w:val="en-US" w:eastAsia="zh-CN"/>
        </w:rPr>
        <w:t>Holstein</w:t>
      </w:r>
      <w:r>
        <w:rPr>
          <w:rFonts w:hint="eastAsia"/>
          <w:lang w:val="en-US" w:eastAsia="zh-CN"/>
        </w:rPr>
        <w:t xml:space="preserve"> cows w</w:t>
      </w:r>
      <w:r>
        <w:rPr>
          <w:rFonts w:hint="default"/>
          <w:lang w:val="en-US" w:eastAsia="zh-CN"/>
        </w:rPr>
        <w:t>ere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divided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into healthy control</w:t>
      </w:r>
      <w:r>
        <w:rPr>
          <w:rFonts w:hint="eastAsia"/>
          <w:lang w:val="en-US" w:eastAsia="zh-CN"/>
        </w:rPr>
        <w:t xml:space="preserve"> group</w:t>
      </w:r>
      <w:r>
        <w:rPr>
          <w:rFonts w:hint="default"/>
          <w:lang w:val="en-US" w:eastAsia="zh-CN"/>
        </w:rPr>
        <w:t xml:space="preserve"> (HC</w:t>
      </w:r>
      <w:r>
        <w:rPr>
          <w:rFonts w:hint="eastAsia"/>
          <w:lang w:val="en-US" w:eastAsia="zh-CN"/>
        </w:rPr>
        <w:t>, n=22</w:t>
      </w:r>
      <w:r>
        <w:rPr>
          <w:rFonts w:hint="default"/>
          <w:lang w:val="en-US" w:eastAsia="zh-CN"/>
        </w:rPr>
        <w:t>)</w:t>
      </w:r>
      <w:r>
        <w:rPr>
          <w:rFonts w:hint="eastAsia"/>
          <w:lang w:val="en-US" w:eastAsia="zh-CN"/>
        </w:rPr>
        <w:t>, IO group (n= 6), FC group (n= 6) and LC group (n=6) b</w:t>
      </w:r>
      <w:r>
        <w:rPr>
          <w:rFonts w:hint="default"/>
          <w:lang w:val="en-US" w:eastAsia="zh-CN"/>
        </w:rPr>
        <w:t xml:space="preserve">y rectal </w:t>
      </w:r>
      <w:r>
        <w:rPr>
          <w:rFonts w:hint="eastAsia"/>
          <w:lang w:val="en-US" w:eastAsia="zh-CN"/>
        </w:rPr>
        <w:t xml:space="preserve">palpation or </w:t>
      </w:r>
      <w:r>
        <w:rPr>
          <w:rFonts w:hint="default"/>
          <w:lang w:val="en-US" w:eastAsia="zh-CN"/>
        </w:rPr>
        <w:t>ultrasonography</w:t>
      </w:r>
      <w:r>
        <w:rPr>
          <w:rFonts w:hint="eastAsia"/>
          <w:lang w:val="en-US" w:eastAsia="zh-CN"/>
        </w:rPr>
        <w:t xml:space="preserve"> d</w:t>
      </w:r>
      <w:r>
        <w:rPr>
          <w:rFonts w:hint="default"/>
          <w:lang w:val="en-US" w:eastAsia="zh-CN"/>
        </w:rPr>
        <w:t>uring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this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four-week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period.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Blood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was collected via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tail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vein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 xml:space="preserve">for </w:t>
      </w:r>
      <w:r>
        <w:rPr>
          <w:rFonts w:hint="eastAsia"/>
          <w:lang w:val="en-US" w:eastAsia="zh-CN"/>
        </w:rPr>
        <w:t xml:space="preserve">measurement of plasma </w:t>
      </w:r>
      <w:r>
        <w:rPr>
          <w:rFonts w:hint="default"/>
          <w:lang w:val="en-US" w:eastAsia="zh-CN"/>
        </w:rPr>
        <w:t>metabolites,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minerals,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and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hormones</w:t>
      </w:r>
      <w:r>
        <w:rPr>
          <w:rFonts w:hint="eastAsia"/>
          <w:lang w:val="en-US" w:eastAsia="zh-CN"/>
        </w:rPr>
        <w:t xml:space="preserve"> on days 21 and 50 </w:t>
      </w:r>
      <w:r>
        <w:rPr>
          <w:rFonts w:hint="default"/>
          <w:lang w:val="en-US" w:eastAsia="zh-CN"/>
        </w:rPr>
        <w:t>postpartum</w:t>
      </w:r>
      <w:r>
        <w:rPr>
          <w:rFonts w:hint="eastAsia"/>
          <w:lang w:val="en-US" w:eastAsia="zh-CN"/>
        </w:rPr>
        <w:t xml:space="preserve">. Data were analyzed by </w:t>
      </w:r>
      <w:r>
        <w:rPr>
          <w:rFonts w:hint="default"/>
          <w:lang w:val="en-US" w:eastAsia="zh-CN"/>
        </w:rPr>
        <w:t>Mann-Whitney U</w:t>
      </w:r>
      <w:r>
        <w:rPr>
          <w:rFonts w:hint="eastAsia"/>
          <w:lang w:val="en-US" w:eastAsia="zh-CN"/>
        </w:rPr>
        <w:t xml:space="preserve">, Kruskal-Wallis, Spearman correlation, binary logistic regression analysis and Receiver operating characteristic (ROC) analysis, where applicable. Findings: OD compared with HC cows had greater (P&lt;0.05) concentrations of plasma </w:t>
      </w:r>
      <w:r>
        <w:rPr>
          <w:rFonts w:hint="eastAsia"/>
          <w:lang w:val="en-US" w:eastAsia="zh-CN"/>
        </w:rPr>
        <w:t>nonesterified fatty acids (</w:t>
      </w:r>
      <w:r>
        <w:rPr>
          <w:rFonts w:hint="default"/>
          <w:lang w:val="en-US" w:eastAsia="zh-CN"/>
        </w:rPr>
        <w:t>NEFA</w:t>
      </w:r>
      <w:r>
        <w:rPr>
          <w:rFonts w:hint="eastAsia"/>
          <w:lang w:val="en-US" w:eastAsia="zh-CN"/>
        </w:rPr>
        <w:t xml:space="preserve">), and lesser (P&lt;0.05) concentrations of plasma alanine aminotransferase (ALT), </w:t>
      </w:r>
      <w:r>
        <w:rPr>
          <w:rFonts w:hint="default"/>
          <w:lang w:val="en-US" w:eastAsia="zh-CN"/>
        </w:rPr>
        <w:t>calcium</w:t>
      </w:r>
      <w:r>
        <w:rPr>
          <w:rFonts w:hint="eastAsia"/>
          <w:lang w:val="en-US" w:eastAsia="zh-CN"/>
        </w:rPr>
        <w:t xml:space="preserve"> (</w:t>
      </w:r>
      <w:r>
        <w:rPr>
          <w:rFonts w:hint="default"/>
          <w:lang w:val="en-US" w:eastAsia="zh-CN"/>
        </w:rPr>
        <w:t>Ca</w:t>
      </w:r>
      <w:r>
        <w:rPr>
          <w:rFonts w:hint="eastAsia"/>
          <w:lang w:val="en-US" w:eastAsia="zh-CN"/>
        </w:rPr>
        <w:t>), phosphorus (P) and insulin-like growth factor 1 (</w:t>
      </w:r>
      <w:r>
        <w:rPr>
          <w:rFonts w:hint="default"/>
          <w:lang w:val="en-US" w:eastAsia="zh-CN"/>
        </w:rPr>
        <w:t>IGF-1</w:t>
      </w:r>
      <w:r>
        <w:rPr>
          <w:rFonts w:hint="eastAsia"/>
          <w:lang w:val="en-US" w:eastAsia="zh-CN"/>
        </w:rPr>
        <w:t xml:space="preserve">) on 21 d than OD cows. OD were </w:t>
      </w:r>
      <w:r>
        <w:rPr>
          <w:rFonts w:hint="default"/>
          <w:lang w:val="en-US" w:eastAsia="zh-CN"/>
        </w:rPr>
        <w:t>positively correlated with plasma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NEFA</w:t>
      </w:r>
      <w:r>
        <w:rPr>
          <w:rFonts w:hint="eastAsia"/>
          <w:lang w:val="en-US" w:eastAsia="zh-CN"/>
        </w:rPr>
        <w:t xml:space="preserve">, </w:t>
      </w:r>
      <w:r>
        <w:rPr>
          <w:rFonts w:hint="default"/>
          <w:lang w:val="en-US" w:eastAsia="zh-CN"/>
        </w:rPr>
        <w:t>and negatively correlated with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plasma</w:t>
      </w:r>
      <w:r>
        <w:rPr>
          <w:rFonts w:hint="eastAsia"/>
          <w:lang w:val="en-US" w:eastAsia="zh-CN"/>
        </w:rPr>
        <w:t xml:space="preserve"> ALT, </w:t>
      </w:r>
      <w:r>
        <w:rPr>
          <w:rFonts w:hint="default"/>
          <w:lang w:val="en-US" w:eastAsia="zh-CN"/>
        </w:rPr>
        <w:t>Ca</w:t>
      </w:r>
      <w:r>
        <w:rPr>
          <w:rFonts w:hint="eastAsia"/>
          <w:lang w:val="en-US" w:eastAsia="zh-CN"/>
        </w:rPr>
        <w:t xml:space="preserve">, P and </w:t>
      </w:r>
      <w:r>
        <w:rPr>
          <w:rFonts w:hint="default"/>
          <w:lang w:val="en-US" w:eastAsia="zh-CN"/>
        </w:rPr>
        <w:t>IGF-1.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Early warning value</w:t>
      </w:r>
      <w:r>
        <w:rPr>
          <w:rFonts w:hint="eastAsia"/>
          <w:lang w:val="en-US" w:eastAsia="zh-CN"/>
        </w:rPr>
        <w:t>s</w:t>
      </w:r>
      <w:r>
        <w:rPr>
          <w:rFonts w:hint="default"/>
          <w:lang w:val="en-US" w:eastAsia="zh-CN"/>
        </w:rPr>
        <w:t xml:space="preserve"> for </w:t>
      </w:r>
      <w:r>
        <w:rPr>
          <w:rFonts w:hint="eastAsia"/>
          <w:lang w:val="en-US" w:eastAsia="zh-CN"/>
        </w:rPr>
        <w:t xml:space="preserve">OD </w:t>
      </w:r>
      <w:r>
        <w:rPr>
          <w:rFonts w:hint="default"/>
          <w:lang w:val="en-US" w:eastAsia="zh-CN"/>
        </w:rPr>
        <w:t>cows were plasma NEFA concentrations &gt; 0.50 mmol/</w:t>
      </w:r>
      <w:r>
        <w:rPr>
          <w:rFonts w:hint="eastAsia"/>
          <w:lang w:val="en-US" w:eastAsia="zh-CN"/>
        </w:rPr>
        <w:t>L</w:t>
      </w:r>
      <w:r>
        <w:rPr>
          <w:rFonts w:hint="default"/>
          <w:lang w:val="en-US" w:eastAsia="zh-CN"/>
        </w:rPr>
        <w:t>, or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Ca concentrations &lt; 2.02 mmol/</w:t>
      </w:r>
      <w:r>
        <w:rPr>
          <w:rFonts w:hint="eastAsia"/>
          <w:lang w:val="en-US" w:eastAsia="zh-CN"/>
        </w:rPr>
        <w:t xml:space="preserve">L on 21 </w:t>
      </w:r>
      <w:r>
        <w:rPr>
          <w:rFonts w:hint="default"/>
          <w:lang w:val="en-US" w:eastAsia="zh-CN"/>
        </w:rPr>
        <w:t>days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postpartum</w:t>
      </w:r>
      <w:r>
        <w:rPr>
          <w:rFonts w:hint="eastAsia"/>
          <w:lang w:val="en-US" w:eastAsia="zh-CN"/>
        </w:rPr>
        <w:t xml:space="preserve">. </w:t>
      </w:r>
      <w:r>
        <w:t>Conclusion &amp; Significance:</w:t>
      </w:r>
      <w:r>
        <w:t xml:space="preserve"> </w:t>
      </w:r>
      <w:r>
        <w:rPr>
          <w:rFonts w:hint="eastAsia"/>
          <w:lang w:val="en-US" w:eastAsia="zh-CN"/>
        </w:rPr>
        <w:t>P</w:t>
      </w:r>
      <w:r>
        <w:rPr>
          <w:rFonts w:hint="eastAsia"/>
        </w:rPr>
        <w:t>lasma</w:t>
      </w:r>
      <w:r>
        <w:rPr>
          <w:rFonts w:hint="eastAsia"/>
          <w:lang w:val="en-US" w:eastAsia="zh-CN"/>
        </w:rPr>
        <w:t xml:space="preserve"> NEFA and Ca could be used as </w:t>
      </w:r>
      <w:r>
        <w:rPr>
          <w:rFonts w:hint="default"/>
          <w:lang w:val="en-US" w:eastAsia="zh-CN"/>
        </w:rPr>
        <w:t>early</w:t>
      </w:r>
      <w:r>
        <w:rPr>
          <w:rFonts w:hint="eastAsia"/>
          <w:lang w:val="en-US" w:eastAsia="zh-CN"/>
        </w:rPr>
        <w:t>-warning indicators for OD in dairy cows. The present findings provide a new strategy for prevention and control of OD in the future.</w:t>
      </w:r>
    </w:p>
    <w:p>
      <w:pPr>
        <w:pStyle w:val="4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>
      <w:pPr>
        <w:pStyle w:val="5"/>
        <w:spacing w:before="2"/>
        <w:jc w:val="center"/>
        <w:rPr>
          <w:rFonts w:ascii="Arial"/>
          <w:b/>
          <w:sz w:val="16"/>
        </w:rPr>
      </w:pPr>
      <w:r>
        <w:rPr>
          <w:rFonts w:hint="eastAsia" w:eastAsia="黑体"/>
          <w:color w:val="000000"/>
          <w:szCs w:val="21"/>
          <w:lang w:eastAsia="zh-CN"/>
        </w:rPr>
        <w:drawing>
          <wp:inline distT="0" distB="0" distL="114300" distR="114300">
            <wp:extent cx="1800225" cy="1440180"/>
            <wp:effectExtent l="0" t="0" r="13335" b="7620"/>
            <wp:docPr id="4" name="图片 3" descr="图片111111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图片1111111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04" w:lineRule="exact"/>
        <w:rPr>
          <w:rFonts w:ascii="Arial"/>
          <w:b/>
          <w:sz w:val="20"/>
        </w:rPr>
      </w:pPr>
      <w:r>
        <w:rPr>
          <w:rFonts w:ascii="Times New Roman" w:hAnsi="Times New Roman" w:eastAsia="黑体"/>
          <w:b/>
          <w:bCs/>
          <w:color w:val="000000"/>
          <w:sz w:val="18"/>
          <w:szCs w:val="18"/>
        </w:rPr>
        <w:t>Fig</w:t>
      </w:r>
      <w:r>
        <w:rPr>
          <w:rFonts w:hint="eastAsia" w:ascii="Times New Roman" w:hAnsi="Times New Roman" w:eastAsia="黑体"/>
          <w:b/>
          <w:bCs/>
          <w:color w:val="000000"/>
          <w:sz w:val="18"/>
          <w:szCs w:val="18"/>
          <w:lang w:val="en-US" w:eastAsia="zh-CN"/>
        </w:rPr>
        <w:t>ure 1:</w:t>
      </w:r>
      <w:r>
        <w:rPr>
          <w:rFonts w:ascii="Times New Roman" w:hAnsi="Times New Roman" w:eastAsia="黑体"/>
          <w:color w:val="000000"/>
          <w:sz w:val="18"/>
          <w:szCs w:val="18"/>
        </w:rPr>
        <w:t xml:space="preserve"> ROC area under the curve of </w:t>
      </w:r>
      <w:r>
        <w:rPr>
          <w:rFonts w:ascii="Times New Roman" w:hAnsi="Times New Roman"/>
          <w:sz w:val="18"/>
          <w:szCs w:val="18"/>
        </w:rPr>
        <w:t>NEFA and Ca in dairy cows with ovarian disease</w:t>
      </w:r>
      <w:r>
        <w:rPr>
          <w:rFonts w:hint="eastAsia" w:ascii="Times New Roman" w:hAnsi="Times New Roman" w:eastAsia="宋体"/>
          <w:sz w:val="18"/>
          <w:szCs w:val="18"/>
          <w:lang w:val="en-US" w:eastAsia="zh-CN"/>
        </w:rPr>
        <w:t>.</w:t>
      </w:r>
      <w:r>
        <w:rPr>
          <w:rFonts w:ascii="Arial"/>
          <w:b/>
          <w:color w:val="BF5A14"/>
          <w:sz w:val="20"/>
        </w:rPr>
        <w:br w:type="textWrapping"/>
      </w:r>
      <w:r>
        <w:rPr>
          <w:rFonts w:ascii="Arial"/>
          <w:b/>
          <w:color w:val="BF5A14"/>
          <w:sz w:val="20"/>
        </w:rPr>
        <w:t>Recent Publications (minimum 5)</w:t>
      </w:r>
    </w:p>
    <w:p>
      <w:pPr>
        <w:pStyle w:val="13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rFonts w:ascii="Calibri" w:hAnsi="Calibri" w:eastAsia="Tw Cen MT" w:cs="Tw Cen MT"/>
          <w:sz w:val="18"/>
          <w:szCs w:val="18"/>
          <w:lang w:val="en-US" w:eastAsia="en-US" w:bidi="ar-SA"/>
        </w:rPr>
      </w:pPr>
      <w:r>
        <w:rPr>
          <w:rFonts w:hint="eastAsia" w:ascii="Calibri" w:hAnsi="Calibri" w:eastAsia="Tw Cen MT" w:cs="Tw Cen MT"/>
          <w:sz w:val="18"/>
          <w:szCs w:val="18"/>
          <w:lang w:val="en-US" w:eastAsia="en-US" w:bidi="ar-SA"/>
        </w:rPr>
        <w:t>Gareis NC, Angeli E, Huber E</w:t>
      </w:r>
      <w:r>
        <w:rPr>
          <w:rFonts w:hint="eastAsia" w:ascii="Calibri" w:hAnsi="Calibri" w:eastAsia="宋体" w:cs="Tw Cen MT"/>
          <w:sz w:val="18"/>
          <w:szCs w:val="18"/>
          <w:lang w:val="en-US" w:eastAsia="zh-CN" w:bidi="ar-SA"/>
        </w:rPr>
        <w:t xml:space="preserve"> (2018)</w:t>
      </w:r>
      <w:r>
        <w:rPr>
          <w:rFonts w:hint="eastAsia" w:ascii="Calibri" w:hAnsi="Calibri" w:eastAsia="Tw Cen MT" w:cs="Tw Cen MT"/>
          <w:sz w:val="18"/>
          <w:szCs w:val="18"/>
          <w:lang w:val="en-US" w:eastAsia="en-US" w:bidi="ar-SA"/>
        </w:rPr>
        <w:t xml:space="preserve"> Alterations in key metabolic sensors involved in bovine cystic ovarian disease. Theriogenology 120:138-146.</w:t>
      </w:r>
    </w:p>
    <w:p>
      <w:pPr>
        <w:pStyle w:val="13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rFonts w:hint="eastAsia"/>
          <w:sz w:val="18"/>
        </w:rPr>
        <w:t>Zulu VC, Sawamukai Y, Nakada K</w:t>
      </w:r>
      <w:r>
        <w:rPr>
          <w:rFonts w:hint="eastAsia" w:eastAsia="宋体"/>
          <w:sz w:val="18"/>
          <w:lang w:val="en-US" w:eastAsia="zh-CN"/>
        </w:rPr>
        <w:t xml:space="preserve"> (2002)</w:t>
      </w:r>
      <w:r>
        <w:rPr>
          <w:rFonts w:hint="eastAsia"/>
          <w:sz w:val="18"/>
        </w:rPr>
        <w:t xml:space="preserve"> Relationship among insulin-like growth factor-I, blood metabolites and postpartum ovarian function in dairy cows. Journal of Veterinary Medical Science 64:879-885.</w:t>
      </w:r>
    </w:p>
    <w:p>
      <w:pPr>
        <w:pStyle w:val="13"/>
        <w:numPr>
          <w:ilvl w:val="0"/>
          <w:numId w:val="1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rFonts w:hint="eastAsia" w:eastAsia="宋体"/>
          <w:sz w:val="18"/>
          <w:lang w:val="en-US" w:eastAsia="zh-CN"/>
        </w:rPr>
        <w:t>Wathes D, Taylor V, Cheng ZZ (2003) Follicle growth, corpus luteum function and their effects on embryo development in postpartum dairy cows. Reprod Suppl 61:219-237.</w:t>
      </w:r>
    </w:p>
    <w:p>
      <w:pPr>
        <w:pStyle w:val="13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rFonts w:hint="eastAsia" w:ascii="Calibri" w:hAnsi="Calibri" w:eastAsia="Calibri" w:cs="Calibri"/>
          <w:sz w:val="18"/>
          <w:lang w:val="en-US" w:eastAsia="zh-CN"/>
        </w:rPr>
      </w:pPr>
      <w:r>
        <w:rPr>
          <w:rFonts w:hint="eastAsia" w:ascii="Calibri" w:hAnsi="Calibri" w:eastAsia="Calibri" w:cs="Calibri"/>
          <w:sz w:val="18"/>
          <w:lang w:val="en-US" w:eastAsia="zh-CN"/>
        </w:rPr>
        <w:t>Vanholder T, Opsomer G, Kruif AD (2006) Aetiology and pathogenesis of cystic ovarian follicles in dairy cattle: a review. Reprod Nutr Dev 46:105-119.</w:t>
      </w:r>
    </w:p>
    <w:p>
      <w:pPr>
        <w:pStyle w:val="13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rFonts w:hint="eastAsia" w:ascii="Calibri" w:hAnsi="Calibri" w:eastAsia="Calibri" w:cs="Calibri"/>
          <w:sz w:val="18"/>
        </w:rPr>
      </w:pPr>
      <w:r>
        <w:rPr>
          <w:rFonts w:hint="eastAsia" w:ascii="Calibri" w:hAnsi="Calibri" w:eastAsia="Calibri" w:cs="Calibri"/>
          <w:sz w:val="18"/>
        </w:rPr>
        <w:t>Lima FS, Acosta DA, Egan TR</w:t>
      </w:r>
      <w:r>
        <w:rPr>
          <w:rFonts w:hint="eastAsia" w:ascii="Calibri" w:hAnsi="Calibri" w:eastAsia="宋体" w:cs="Calibri"/>
          <w:sz w:val="18"/>
          <w:lang w:val="en-US" w:eastAsia="zh-CN"/>
        </w:rPr>
        <w:t xml:space="preserve"> (2019)</w:t>
      </w:r>
      <w:r>
        <w:rPr>
          <w:rFonts w:hint="eastAsia" w:ascii="Calibri" w:hAnsi="Calibri" w:eastAsia="Calibri" w:cs="Calibri"/>
          <w:sz w:val="18"/>
        </w:rPr>
        <w:t xml:space="preserve"> Steroidogenic, metabolic, and immunological markers in dairy cows diagnosed with cystic ovarian follicles at early and mid-late lactation</w:t>
      </w:r>
      <w:r>
        <w:rPr>
          <w:rFonts w:hint="eastAsia" w:ascii="Calibri" w:hAnsi="Calibri" w:eastAsia="宋体" w:cs="Calibri"/>
          <w:sz w:val="18"/>
          <w:lang w:val="en-US" w:eastAsia="zh-CN"/>
        </w:rPr>
        <w:t>.</w:t>
      </w:r>
      <w:r>
        <w:rPr>
          <w:rFonts w:hint="eastAsia" w:ascii="Calibri" w:hAnsi="Calibri" w:eastAsia="Calibri" w:cs="Calibri"/>
          <w:sz w:val="18"/>
        </w:rPr>
        <w:t xml:space="preserve"> Frontiers in Veterinary Science 6: 324.</w:t>
      </w:r>
    </w:p>
    <w:p>
      <w:pPr>
        <w:spacing w:line="200" w:lineRule="exact"/>
        <w:jc w:val="both"/>
        <w:rPr>
          <w:rFonts w:ascii="Calibri" w:hAnsi="Calibri"/>
        </w:rPr>
        <w:sectPr>
          <w:type w:val="continuous"/>
          <w:pgSz w:w="11910" w:h="16840"/>
          <w:pgMar w:top="1740" w:right="600" w:bottom="840" w:left="620" w:header="720" w:footer="720" w:gutter="0"/>
          <w:cols w:equalWidth="0" w:num="2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>
      <w:pPr>
        <w:pStyle w:val="5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>
        <w:rPr>
          <w:rFonts w:ascii="Calibri"/>
          <w:b/>
          <w:sz w:val="20"/>
        </w:rPr>
        <w:t>Photograph</w:t>
      </w:r>
    </w:p>
    <w:p>
      <w:pPr>
        <w:pStyle w:val="5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o:spt="203" style="height:2pt;width:313.05pt;" coordsize="6261,40" o:gfxdata="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mSUQYdQAAAADAQAADwAAAAAAAAABACAA&#10;AAAiAAAAZHJzL2Rvd25yZXYueG1sUEsBAhQAFAAAAAgAh07iQFwbqocRAgAAlQQAAA4AAAAAAAAA&#10;AQAgAAAAIwEAAGRycy9lMm9Eb2MueG1sUEsFBgAAAAAGAAYAWQEAAKYFAAAAAA==&#10;">
                <o:lock v:ext="edit" aspectratio="f"/>
                <v:line id="Line 5" o:spid="_x0000_s1026" o:spt="20" style="position:absolute;left:20;top:20;height:0;width:6221;" filled="f" stroked="t" coordsize="21600,21600" o:gfxdata="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l7Txu5AAAA2wAA&#10;AA8AAAAAAAAAAQAgAAAAIgAAAGRycy9kb3ducmV2LnhtbFBLAQIUABQAAAAIAIdO4kAzLwWeOwAA&#10;ADkAAAAQAAAAAAAAAAEAIAAAAAgBAABkcnMvc2hhcGV4bWwueG1sUEsFBgAAAAAGAAYAWwEAALID&#10;AAAAAA==&#10;">
                  <v:fill on="f" focussize="0,0"/>
                  <v:stroke weight="2pt" color="#00408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spacing w:before="92"/>
        <w:ind w:right="4234"/>
        <w:rPr>
          <w:rFonts w:ascii="Arial"/>
        </w:rPr>
      </w:pPr>
      <w:r>
        <w:t xml:space="preserve">              </w:t>
      </w:r>
      <w:r>
        <w:rPr>
          <w:rFonts w:ascii="Arial"/>
          <w:color w:val="BF5A14"/>
        </w:rPr>
        <w:drawing>
          <wp:inline distT="0" distB="0" distL="114300" distR="114300">
            <wp:extent cx="728980" cy="1014095"/>
            <wp:effectExtent l="0" t="0" r="2540" b="6985"/>
            <wp:docPr id="6" name="图片 6" descr="IMG_6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65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8980" cy="101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>Biography (150 word limit)</w:t>
      </w:r>
    </w:p>
    <w:p>
      <w:pPr>
        <w:spacing w:before="41" w:line="154" w:lineRule="exact"/>
        <w:ind w:left="213" w:right="231"/>
        <w:jc w:val="both"/>
        <w:rPr>
          <w:rFonts w:hint="default" w:ascii="Arial" w:eastAsia="宋体"/>
          <w:sz w:val="14"/>
          <w:lang w:val="en-US" w:eastAsia="zh-CN"/>
        </w:rPr>
      </w:pPr>
      <w:r>
        <w:rPr>
          <w:rFonts w:ascii="Arial"/>
          <w:sz w:val="14"/>
        </w:rPr>
        <w:t xml:space="preserve">Dr </w:t>
      </w:r>
      <w:r>
        <w:rPr>
          <w:rFonts w:hint="eastAsia" w:ascii="Arial" w:eastAsia="宋体"/>
          <w:sz w:val="14"/>
          <w:lang w:val="en-US" w:eastAsia="zh-CN"/>
        </w:rPr>
        <w:t xml:space="preserve">Yuxi Song </w:t>
      </w:r>
      <w:r>
        <w:rPr>
          <w:rFonts w:hint="eastAsia" w:ascii="Arial"/>
          <w:sz w:val="14"/>
        </w:rPr>
        <w:t xml:space="preserve">specializes in </w:t>
      </w:r>
      <w:r>
        <w:rPr>
          <w:rFonts w:hint="eastAsia" w:ascii="Arial" w:eastAsia="宋体"/>
          <w:sz w:val="14"/>
          <w:lang w:val="en-US" w:eastAsia="zh-CN"/>
        </w:rPr>
        <w:t>a</w:t>
      </w:r>
      <w:r>
        <w:rPr>
          <w:rFonts w:ascii="Arial"/>
          <w:sz w:val="14"/>
        </w:rPr>
        <w:t xml:space="preserve">nimal </w:t>
      </w:r>
      <w:r>
        <w:rPr>
          <w:rFonts w:hint="eastAsia" w:ascii="Arial" w:eastAsia="宋体"/>
          <w:sz w:val="14"/>
          <w:lang w:val="en-US" w:eastAsia="zh-CN"/>
        </w:rPr>
        <w:t>n</w:t>
      </w:r>
      <w:r>
        <w:rPr>
          <w:rFonts w:ascii="Arial"/>
          <w:sz w:val="14"/>
        </w:rPr>
        <w:t xml:space="preserve">utritional and </w:t>
      </w:r>
      <w:r>
        <w:rPr>
          <w:rFonts w:hint="eastAsia" w:ascii="Arial" w:eastAsia="宋体"/>
          <w:sz w:val="14"/>
          <w:lang w:val="en-US" w:eastAsia="zh-CN"/>
        </w:rPr>
        <w:t>m</w:t>
      </w:r>
      <w:r>
        <w:rPr>
          <w:rFonts w:ascii="Arial"/>
          <w:sz w:val="14"/>
        </w:rPr>
        <w:t xml:space="preserve">etabolic </w:t>
      </w:r>
      <w:r>
        <w:rPr>
          <w:rFonts w:hint="eastAsia" w:ascii="Arial" w:eastAsia="宋体"/>
          <w:sz w:val="14"/>
          <w:lang w:val="en-US" w:eastAsia="zh-CN"/>
        </w:rPr>
        <w:t>d</w:t>
      </w:r>
      <w:r>
        <w:rPr>
          <w:rFonts w:ascii="Arial"/>
          <w:sz w:val="14"/>
        </w:rPr>
        <w:t>isorders</w:t>
      </w:r>
      <w:r>
        <w:rPr>
          <w:rFonts w:hint="eastAsia" w:ascii="Arial"/>
          <w:sz w:val="14"/>
          <w:lang w:val="en-US" w:eastAsia="zh-CN"/>
        </w:rPr>
        <w:t>. His major is clinical veterinary medicine. He has been committed to improving nutritional and metabolic diseases of dairy cows for many years.</w:t>
      </w:r>
    </w:p>
    <w:p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>
        <w:fldChar w:fldCharType="begin"/>
      </w:r>
      <w:r>
        <w:instrText xml:space="preserve"> HYPERLINK "mailto:drXXXXXXX@xxxmail.com" </w:instrText>
      </w:r>
      <w:r>
        <w:fldChar w:fldCharType="separate"/>
      </w:r>
      <w:r>
        <w:rPr>
          <w:rStyle w:val="12"/>
          <w:rFonts w:hint="eastAsia" w:ascii="Arial" w:eastAsia="宋体"/>
          <w:sz w:val="14"/>
          <w:lang w:val="en-US" w:eastAsia="zh-CN"/>
        </w:rPr>
        <w:t>1054889021</w:t>
      </w:r>
      <w:r>
        <w:rPr>
          <w:rStyle w:val="12"/>
          <w:rFonts w:ascii="Arial"/>
          <w:sz w:val="14"/>
        </w:rPr>
        <w:t>@</w:t>
      </w:r>
      <w:r>
        <w:rPr>
          <w:rStyle w:val="12"/>
          <w:rFonts w:hint="eastAsia" w:ascii="Arial" w:eastAsia="宋体"/>
          <w:sz w:val="14"/>
          <w:lang w:val="en-US" w:eastAsia="zh-CN"/>
        </w:rPr>
        <w:t>qq</w:t>
      </w:r>
      <w:r>
        <w:rPr>
          <w:rStyle w:val="12"/>
          <w:rFonts w:ascii="Arial"/>
          <w:sz w:val="14"/>
        </w:rPr>
        <w:t>.com</w:t>
      </w:r>
      <w:r>
        <w:rPr>
          <w:rStyle w:val="12"/>
          <w:rFonts w:ascii="Arial"/>
          <w:sz w:val="14"/>
        </w:rPr>
        <w:fldChar w:fldCharType="end"/>
      </w:r>
    </w:p>
    <w:p>
      <w:pPr>
        <w:pStyle w:val="5"/>
        <w:spacing w:before="2"/>
        <w:rPr>
          <w:rFonts w:ascii="Arial"/>
          <w:sz w:val="19"/>
        </w:rPr>
      </w:pPr>
      <w:r>
        <w:rPr>
          <w:lang w:val="en-IN" w:eastAsia="en-IN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162.1pt;margin-top:13.25pt;height:0pt;width:271.05pt;mso-position-horizontal-relative:page;mso-wrap-distance-bottom:0pt;mso-wrap-distance-top:0pt;z-index:251660288;mso-width-relative:page;mso-height-relative:page;" filled="f" stroked="t" coordsize="21600,21600" o:gfxdata="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OKUBv1gAAAAkBAAAPAAAAAAAAAAEAIAAAACIAAABkcnMv&#10;ZG93bnJldi54bWxQSwECFAAUAAAACACHTuJAjY+6RswBAACgAwAADgAAAAAAAAABACAAAAAlAQAA&#10;ZHJzL2Uyb0RvYy54bWxQSwUGAAAAAAYABgBZAQAAYwUAAAAA&#10;">
                <v:fill on="f" focussize="0,0"/>
                <v:stroke weight="0.5pt" color="#00408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5"/>
        <w:rPr>
          <w:rFonts w:ascii="Arial"/>
          <w:sz w:val="20"/>
        </w:rPr>
      </w:pPr>
    </w:p>
    <w:p>
      <w:pPr>
        <w:pStyle w:val="5"/>
        <w:rPr>
          <w:rFonts w:ascii="Arial"/>
          <w:sz w:val="20"/>
        </w:rPr>
      </w:pPr>
    </w:p>
    <w:p>
      <w:pPr>
        <w:pStyle w:val="5"/>
        <w:spacing w:before="7"/>
        <w:rPr>
          <w:rFonts w:ascii="Arial"/>
          <w:sz w:val="29"/>
        </w:rPr>
      </w:pPr>
    </w:p>
    <w:p>
      <w:pPr>
        <w:spacing w:before="39"/>
        <w:ind w:left="100"/>
        <w:rPr>
          <w:rFonts w:ascii="Minion Pro"/>
          <w:sz w:val="24"/>
        </w:rPr>
        <w:sectPr>
          <w:type w:val="continuous"/>
          <w:pgSz w:w="11910" w:h="16840"/>
          <w:pgMar w:top="1740" w:right="600" w:bottom="840" w:left="620" w:header="720" w:footer="720" w:gutter="0"/>
          <w:cols w:space="720" w:num="1"/>
        </w:sectPr>
      </w:pPr>
      <w:r>
        <w:rPr>
          <w:rFonts w:ascii="Minion Pro"/>
          <w:b/>
          <w:sz w:val="20"/>
        </w:rPr>
        <w:t>Notes/Comments:</w:t>
      </w:r>
    </w:p>
    <w:p>
      <w:pPr>
        <w:pStyle w:val="5"/>
        <w:spacing w:before="3"/>
        <w:rPr>
          <w:rFonts w:ascii="Minion Pro"/>
          <w:sz w:val="26"/>
        </w:rPr>
      </w:pPr>
    </w:p>
    <w:sectPr>
      <w:type w:val="continuous"/>
      <w:pgSz w:w="11910" w:h="16840"/>
      <w:pgMar w:top="1740" w:right="580" w:bottom="840" w:left="620" w:header="720" w:footer="720" w:gutter="0"/>
      <w:cols w:equalWidth="0" w:num="2">
        <w:col w:w="5214" w:space="138"/>
        <w:col w:w="535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w Cen MT">
    <w:panose1 w:val="020B0602020104020603"/>
    <w:charset w:val="00"/>
    <w:family w:val="swiss"/>
    <w:pitch w:val="default"/>
    <w:sig w:usb0="00000003" w:usb1="00000000" w:usb2="00000000" w:usb3="00000000" w:csb0="20000003" w:csb1="00000000"/>
  </w:font>
  <w:font w:name="Minion Pro">
    <w:altName w:val="Cambria Math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Myriad Pro">
    <w:altName w:val="Corbe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  <w:r>
      <w:rPr>
        <w:lang w:val="en-IN" w:eastAsia="en-IN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J Pain Relief</w:t>
                          </w:r>
                        </w:p>
                        <w:p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" o:spid="_x0000_s1026" o:spt="202" type="#_x0000_t202" style="position:absolute;left:0pt;margin-left:35pt;margin-top:798.8pt;height:19.6pt;width:168.2pt;mso-position-horizontal-relative:page;mso-position-vertical-relative:page;z-index:-251655168;mso-width-relative:page;mso-height-relative:page;" filled="f" stroked="f" coordsize="21600,21600" o:gfxdata="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AJbqTaAAAADAEAAA8AAAAAAAAAAQAgAAAAIgAAAGRycy9kb3du&#10;cmV2LnhtbFBLAQIUABQAAAAIAIdO4kB7KTtJ/QEAAAQEAAAOAAAAAAAAAAEAIAAAACk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 Pain Relief</w:t>
                    </w:r>
                  </w:p>
                  <w:p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ISSN: 2167-0846 JPAR an open access journa</w:t>
                    </w:r>
                  </w:p>
                </w:txbxContent>
              </v:textbox>
            </v:shape>
          </w:pict>
        </mc:Fallback>
      </mc:AlternateContent>
    </w:r>
    <w:r>
      <w:rPr>
        <w:lang w:val="en-IN" w:eastAsia="en-IN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Fibromyalgia 2016</w:t>
                          </w:r>
                        </w:p>
                        <w:p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252.1pt;margin-top:799.05pt;height:24.95pt;width:91.9pt;mso-position-horizontal-relative:page;mso-position-vertical-relative:page;z-index:-251655168;mso-width-relative:page;mso-height-relative:page;" filled="f" stroked="f" coordsize="21600,21600" o:gfxdata="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gNYJNoAAAANAQAADwAAAAAAAAABACAAAAAiAAAAZHJzL2Rvd25y&#10;ZXYueG1sUEsBAhQAFAAAAAgAh07iQKBoTD38AQAABAQAAA4AAAAAAAAAAQAgAAAAKQ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Fibromyalgia 2016</w:t>
                    </w:r>
                  </w:p>
                  <w:p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June 15-16, 2016</w:t>
                    </w:r>
                  </w:p>
                </w:txbxContent>
              </v:textbox>
            </v:shape>
          </w:pict>
        </mc:Fallback>
      </mc:AlternateContent>
    </w:r>
    <w:r>
      <w:rPr>
        <w:lang w:val="en-IN" w:eastAsia="en-IN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Volume 5, Issue 3(Suppl)</w:t>
                          </w:r>
                        </w:p>
                        <w:p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Minion Pro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68.9pt;margin-top:798.8pt;height:26.05pt;width:91.4pt;mso-position-horizontal-relative:page;mso-position-vertical-relative:page;z-index:-251655168;mso-width-relative:page;mso-height-relative:page;" filled="f" stroked="f" coordsize="21600,21600" o:gfxdata="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wbMZ2dsAAAAOAQAADwAAAAAAAAABACAAAAAiAAAAZHJzL2Rvd25y&#10;ZXYueG1sUEsBAhQAFAAAAAgAh07iQPGdWzv7AQAABAQAAA4AAAAAAAAAAQAgAAAAKg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Volume 5, Issue 3(Suppl)</w:t>
                    </w:r>
                  </w:p>
                  <w:p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Page 40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  <w:r>
      <w:rPr>
        <w:lang w:val="en-IN" w:eastAsia="en-IN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T Furuta et al., J Pai n Relief 2016, 5:3(Suppl) </w:t>
                          </w:r>
                          <w:r>
                            <w:fldChar w:fldCharType="begin"/>
                          </w:r>
                          <w:r>
                            <w:instrText xml:space="preserve"> HYPERLINK "http://dx.doi.org/10.4172/2167-0846.C1.006"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http://dx.doi.org/10.4172/2167-0846.C1.006</w:t>
                          </w:r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" o:spid="_x0000_s1026" o:spt="202" type="#_x0000_t202" style="position:absolute;left:0pt;margin-left:416pt;margin-top:26.05pt;height:17.4pt;width:144.3pt;mso-position-horizontal-relative:page;mso-position-vertical-relative:page;z-index:-251655168;mso-width-relative:page;mso-height-relative:page;" filled="f" stroked="f" coordsize="21600,21600" o:gfxdata="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KdYriNkAAAAKAQAADwAAAAAAAAABACAAAAAiAAAAZHJzL2Rvd25y&#10;ZXYueG1sUEsBAhQAFAAAAAgAh07iQHQt39b9AQAABQQAAA4AAAAAAAAAAQAgAAAAKA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T Furuta et al., J Pai n Relief 2016, 5:3(Suppl) </w:t>
                    </w:r>
                    <w:r>
                      <w:fldChar w:fldCharType="begin"/>
                    </w:r>
                    <w:r>
                      <w:instrText xml:space="preserve"> HYPERLINK "http://dx.doi.org/10.4172/2167-0846.C1.006" \h </w:instrText>
                    </w:r>
                    <w:r>
                      <w:fldChar w:fldCharType="separate"/>
                    </w:r>
                    <w:r>
                      <w:rPr>
                        <w:rFonts w:ascii="Arial"/>
                        <w:color w:val="FFFFFF" w:themeColor="background1"/>
                        <w:sz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http://dx.doi.org/10.4172/2167-0846.C1.006</w:t>
                    </w:r>
                    <w:r>
                      <w:rPr>
                        <w:rFonts w:ascii="Arial"/>
                        <w:color w:val="FFFFFF" w:themeColor="background1"/>
                        <w:sz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lang w:val="en-IN" w:eastAsia="en-IN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Myriad Pro"/>
                              <w:color w:val="FFFFFF" w:themeColor="background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International Conference on</w:t>
                          </w:r>
                        </w:p>
                        <w:p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52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Fibromyalgia and Chronic Pain </w:t>
                          </w:r>
                          <w:r>
                            <w:rPr>
                              <w:rFonts w:ascii="Minion Pro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4" o:spid="_x0000_s1026" o:spt="202" type="#_x0000_t202" style="position:absolute;left:0pt;margin-left:35pt;margin-top:48.3pt;height:40.1pt;width:515.95pt;mso-position-horizontal-relative:page;mso-position-vertical-relative:page;z-index:-251655168;mso-width-relative:page;mso-height-relative:page;" filled="f" stroked="f" coordsize="21600,21600" o:gfxdata="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ML0Fa2AAAAAoBAAAPAAAAAAAAAAEAIAAAACIAAABkcnMvZG93bnJl&#10;di54bWxQSwECFAAUAAAACACHTuJAnH8oOP0BAAAFBAAADgAAAAAAAAABACAAAAAnAQAAZHJzL2Uy&#10;b0RvYy54bWxQSwUGAAAAAAYABgBZAQAAl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Myriad Pro"/>
                        <w:color w:val="FFFFFF" w:themeColor="background1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International Conference on</w:t>
                    </w:r>
                  </w:p>
                  <w:p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52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Fibromyalgia and Chronic Pain </w:t>
                    </w:r>
                    <w:r>
                      <w:rPr>
                        <w:rFonts w:ascii="Minion Pro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(June 15-16, 2016   Philadelphia, USA)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C80552"/>
    <w:multiLevelType w:val="multilevel"/>
    <w:tmpl w:val="31C80552"/>
    <w:lvl w:ilvl="0" w:tentative="0">
      <w:start w:val="1"/>
      <w:numFmt w:val="decimal"/>
      <w:lvlText w:val="%1."/>
      <w:lvlJc w:val="left"/>
      <w:pPr>
        <w:ind w:left="383" w:hanging="284"/>
      </w:pPr>
      <w:rPr>
        <w:rFonts w:hint="default" w:ascii="Calibri" w:hAnsi="Calibri" w:eastAsia="Calibri" w:cs="Calibri"/>
        <w:spacing w:val="-16"/>
        <w:w w:val="100"/>
        <w:sz w:val="18"/>
        <w:szCs w:val="18"/>
      </w:rPr>
    </w:lvl>
    <w:lvl w:ilvl="1" w:tentative="0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entative="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entative="0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entative="0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entative="0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entative="0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entative="0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entative="0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04FBB"/>
    <w:rsid w:val="0078738A"/>
    <w:rsid w:val="00873DF0"/>
    <w:rsid w:val="008756E6"/>
    <w:rsid w:val="009B2D44"/>
    <w:rsid w:val="00A07E82"/>
    <w:rsid w:val="00A52D99"/>
    <w:rsid w:val="00A9710C"/>
    <w:rsid w:val="00AE3E37"/>
    <w:rsid w:val="00B21A57"/>
    <w:rsid w:val="00C243B6"/>
    <w:rsid w:val="00C33602"/>
    <w:rsid w:val="00CD6F55"/>
    <w:rsid w:val="00D62425"/>
    <w:rsid w:val="00DE3104"/>
    <w:rsid w:val="00F223A0"/>
    <w:rsid w:val="00F268FC"/>
    <w:rsid w:val="00F72EEA"/>
    <w:rsid w:val="00F8136A"/>
    <w:rsid w:val="00F84CAE"/>
    <w:rsid w:val="00FD1285"/>
    <w:rsid w:val="01027F9D"/>
    <w:rsid w:val="01284802"/>
    <w:rsid w:val="01287506"/>
    <w:rsid w:val="0143481C"/>
    <w:rsid w:val="017E5C3E"/>
    <w:rsid w:val="01BB09A4"/>
    <w:rsid w:val="020031EF"/>
    <w:rsid w:val="02093512"/>
    <w:rsid w:val="021A4CAE"/>
    <w:rsid w:val="02364D5A"/>
    <w:rsid w:val="02816981"/>
    <w:rsid w:val="0283662F"/>
    <w:rsid w:val="02C32D0F"/>
    <w:rsid w:val="02D10EF0"/>
    <w:rsid w:val="02E209AD"/>
    <w:rsid w:val="030F157D"/>
    <w:rsid w:val="03180F45"/>
    <w:rsid w:val="031D37C6"/>
    <w:rsid w:val="03203866"/>
    <w:rsid w:val="032515E2"/>
    <w:rsid w:val="033246D2"/>
    <w:rsid w:val="03435493"/>
    <w:rsid w:val="035369A4"/>
    <w:rsid w:val="03574062"/>
    <w:rsid w:val="035A0D68"/>
    <w:rsid w:val="037A533D"/>
    <w:rsid w:val="038A0DF1"/>
    <w:rsid w:val="03A82D93"/>
    <w:rsid w:val="03CE4E18"/>
    <w:rsid w:val="03DB0B0E"/>
    <w:rsid w:val="03DE5D93"/>
    <w:rsid w:val="03F10ECA"/>
    <w:rsid w:val="03F27406"/>
    <w:rsid w:val="04021802"/>
    <w:rsid w:val="04045D59"/>
    <w:rsid w:val="041854E5"/>
    <w:rsid w:val="04232FCC"/>
    <w:rsid w:val="04253DA1"/>
    <w:rsid w:val="042727DC"/>
    <w:rsid w:val="042B7249"/>
    <w:rsid w:val="043023BD"/>
    <w:rsid w:val="04353FED"/>
    <w:rsid w:val="043F4E0C"/>
    <w:rsid w:val="04697C31"/>
    <w:rsid w:val="0487119F"/>
    <w:rsid w:val="048A40A8"/>
    <w:rsid w:val="048F4ECB"/>
    <w:rsid w:val="04EB1064"/>
    <w:rsid w:val="050B1968"/>
    <w:rsid w:val="0522076B"/>
    <w:rsid w:val="05250391"/>
    <w:rsid w:val="052B34F4"/>
    <w:rsid w:val="05451248"/>
    <w:rsid w:val="054D0C4E"/>
    <w:rsid w:val="055F69FF"/>
    <w:rsid w:val="05790C0C"/>
    <w:rsid w:val="058B0167"/>
    <w:rsid w:val="05D73307"/>
    <w:rsid w:val="05F94C10"/>
    <w:rsid w:val="05FC6B7E"/>
    <w:rsid w:val="06176471"/>
    <w:rsid w:val="06252A18"/>
    <w:rsid w:val="062C5875"/>
    <w:rsid w:val="0682254D"/>
    <w:rsid w:val="06BC0786"/>
    <w:rsid w:val="06D83F89"/>
    <w:rsid w:val="070A08DD"/>
    <w:rsid w:val="07117463"/>
    <w:rsid w:val="0719072D"/>
    <w:rsid w:val="071E3362"/>
    <w:rsid w:val="071F7277"/>
    <w:rsid w:val="07317167"/>
    <w:rsid w:val="07391109"/>
    <w:rsid w:val="079644A8"/>
    <w:rsid w:val="07983BEB"/>
    <w:rsid w:val="07AB75C4"/>
    <w:rsid w:val="07AF43F0"/>
    <w:rsid w:val="07CB5DF0"/>
    <w:rsid w:val="07EE0512"/>
    <w:rsid w:val="080033F0"/>
    <w:rsid w:val="080133DA"/>
    <w:rsid w:val="0842780B"/>
    <w:rsid w:val="084900D5"/>
    <w:rsid w:val="0865339A"/>
    <w:rsid w:val="08780507"/>
    <w:rsid w:val="088513C7"/>
    <w:rsid w:val="089900E8"/>
    <w:rsid w:val="08A55626"/>
    <w:rsid w:val="08B80FF2"/>
    <w:rsid w:val="08DD4CAE"/>
    <w:rsid w:val="08F43490"/>
    <w:rsid w:val="09094C72"/>
    <w:rsid w:val="09262ED7"/>
    <w:rsid w:val="095820E9"/>
    <w:rsid w:val="09C45658"/>
    <w:rsid w:val="09D8299D"/>
    <w:rsid w:val="09EC095A"/>
    <w:rsid w:val="0A2C43F8"/>
    <w:rsid w:val="0A5F4EC6"/>
    <w:rsid w:val="0A804626"/>
    <w:rsid w:val="0A8C7E32"/>
    <w:rsid w:val="0A8E21E7"/>
    <w:rsid w:val="0A964CB6"/>
    <w:rsid w:val="0A9842F1"/>
    <w:rsid w:val="0A9C2F93"/>
    <w:rsid w:val="0A9C7AB1"/>
    <w:rsid w:val="0AEC15E3"/>
    <w:rsid w:val="0B0C540D"/>
    <w:rsid w:val="0B3A18C5"/>
    <w:rsid w:val="0B4C0E68"/>
    <w:rsid w:val="0B510DBD"/>
    <w:rsid w:val="0B731CC5"/>
    <w:rsid w:val="0B9421C2"/>
    <w:rsid w:val="0BF241AA"/>
    <w:rsid w:val="0C52308D"/>
    <w:rsid w:val="0C705A97"/>
    <w:rsid w:val="0C787830"/>
    <w:rsid w:val="0C8249A8"/>
    <w:rsid w:val="0C844CC7"/>
    <w:rsid w:val="0CBB6AE1"/>
    <w:rsid w:val="0D173A3F"/>
    <w:rsid w:val="0D6B52F8"/>
    <w:rsid w:val="0D7A786C"/>
    <w:rsid w:val="0D8E5C60"/>
    <w:rsid w:val="0D921077"/>
    <w:rsid w:val="0DCC0A62"/>
    <w:rsid w:val="0DE20859"/>
    <w:rsid w:val="0DE621B3"/>
    <w:rsid w:val="0E1774EC"/>
    <w:rsid w:val="0E543467"/>
    <w:rsid w:val="0E7A2813"/>
    <w:rsid w:val="0E874024"/>
    <w:rsid w:val="0E952A77"/>
    <w:rsid w:val="0EA549E1"/>
    <w:rsid w:val="0EA57394"/>
    <w:rsid w:val="0EC4046C"/>
    <w:rsid w:val="0EF131D5"/>
    <w:rsid w:val="0EFB15B5"/>
    <w:rsid w:val="0F145FF0"/>
    <w:rsid w:val="0F1E3D3D"/>
    <w:rsid w:val="0F2D3309"/>
    <w:rsid w:val="0F310CBF"/>
    <w:rsid w:val="0F380ECA"/>
    <w:rsid w:val="0F3C4FBC"/>
    <w:rsid w:val="0F487F5F"/>
    <w:rsid w:val="0F550536"/>
    <w:rsid w:val="0F9D098A"/>
    <w:rsid w:val="0FBA13C1"/>
    <w:rsid w:val="0FC34FED"/>
    <w:rsid w:val="0FC75B64"/>
    <w:rsid w:val="0FE24379"/>
    <w:rsid w:val="0FFB6539"/>
    <w:rsid w:val="102A6D3F"/>
    <w:rsid w:val="10487AD9"/>
    <w:rsid w:val="10A64E6C"/>
    <w:rsid w:val="10C52F90"/>
    <w:rsid w:val="10F27511"/>
    <w:rsid w:val="11302C98"/>
    <w:rsid w:val="113F5F68"/>
    <w:rsid w:val="11696FBF"/>
    <w:rsid w:val="11704BB1"/>
    <w:rsid w:val="1174739B"/>
    <w:rsid w:val="11810898"/>
    <w:rsid w:val="118A3ED0"/>
    <w:rsid w:val="11A665B4"/>
    <w:rsid w:val="11BA47E2"/>
    <w:rsid w:val="11D50F76"/>
    <w:rsid w:val="11E419B0"/>
    <w:rsid w:val="11F2299D"/>
    <w:rsid w:val="120E32D0"/>
    <w:rsid w:val="12604126"/>
    <w:rsid w:val="12653682"/>
    <w:rsid w:val="12692CEE"/>
    <w:rsid w:val="12780F04"/>
    <w:rsid w:val="12A931E0"/>
    <w:rsid w:val="12B96E7D"/>
    <w:rsid w:val="12E41E71"/>
    <w:rsid w:val="130C47E7"/>
    <w:rsid w:val="133A5062"/>
    <w:rsid w:val="13452EEC"/>
    <w:rsid w:val="136411DD"/>
    <w:rsid w:val="13687B9A"/>
    <w:rsid w:val="13704E49"/>
    <w:rsid w:val="13803064"/>
    <w:rsid w:val="138150FD"/>
    <w:rsid w:val="13D6223C"/>
    <w:rsid w:val="13DB6C61"/>
    <w:rsid w:val="13E54AF6"/>
    <w:rsid w:val="13F736F8"/>
    <w:rsid w:val="140146B6"/>
    <w:rsid w:val="14044668"/>
    <w:rsid w:val="142B7C76"/>
    <w:rsid w:val="142C5117"/>
    <w:rsid w:val="14411BDC"/>
    <w:rsid w:val="14446B3C"/>
    <w:rsid w:val="14547D55"/>
    <w:rsid w:val="14B033EC"/>
    <w:rsid w:val="14DB673D"/>
    <w:rsid w:val="15052B7F"/>
    <w:rsid w:val="15082ECD"/>
    <w:rsid w:val="15133EF1"/>
    <w:rsid w:val="15250C83"/>
    <w:rsid w:val="152A6533"/>
    <w:rsid w:val="153E3F4E"/>
    <w:rsid w:val="154439A4"/>
    <w:rsid w:val="15511F46"/>
    <w:rsid w:val="159B154B"/>
    <w:rsid w:val="159F41F3"/>
    <w:rsid w:val="15AB0CE7"/>
    <w:rsid w:val="15C06277"/>
    <w:rsid w:val="15CB0D95"/>
    <w:rsid w:val="15DB4479"/>
    <w:rsid w:val="161B4777"/>
    <w:rsid w:val="161C70AE"/>
    <w:rsid w:val="162129B9"/>
    <w:rsid w:val="162F75B5"/>
    <w:rsid w:val="162F78C0"/>
    <w:rsid w:val="16363567"/>
    <w:rsid w:val="166B7F11"/>
    <w:rsid w:val="169B51B2"/>
    <w:rsid w:val="169C47FE"/>
    <w:rsid w:val="16D10FDE"/>
    <w:rsid w:val="16D262FF"/>
    <w:rsid w:val="16EE0BE0"/>
    <w:rsid w:val="170C5E3F"/>
    <w:rsid w:val="170E587D"/>
    <w:rsid w:val="172B24C6"/>
    <w:rsid w:val="17586DF8"/>
    <w:rsid w:val="17A704FF"/>
    <w:rsid w:val="18044356"/>
    <w:rsid w:val="180E5A7C"/>
    <w:rsid w:val="184209CD"/>
    <w:rsid w:val="184B0280"/>
    <w:rsid w:val="1886046C"/>
    <w:rsid w:val="18BD74AA"/>
    <w:rsid w:val="18E72051"/>
    <w:rsid w:val="18FA1EAB"/>
    <w:rsid w:val="1911252C"/>
    <w:rsid w:val="19116312"/>
    <w:rsid w:val="19302A0B"/>
    <w:rsid w:val="19526A3D"/>
    <w:rsid w:val="195A5AA8"/>
    <w:rsid w:val="195A76EA"/>
    <w:rsid w:val="197A4ADC"/>
    <w:rsid w:val="19871BEB"/>
    <w:rsid w:val="19955E97"/>
    <w:rsid w:val="19A717C5"/>
    <w:rsid w:val="19C4359A"/>
    <w:rsid w:val="19C80DEC"/>
    <w:rsid w:val="19E45F61"/>
    <w:rsid w:val="1A060D55"/>
    <w:rsid w:val="1A1E0180"/>
    <w:rsid w:val="1A1E35F4"/>
    <w:rsid w:val="1A373F5F"/>
    <w:rsid w:val="1A3A64A9"/>
    <w:rsid w:val="1A450771"/>
    <w:rsid w:val="1A782F37"/>
    <w:rsid w:val="1AA348E8"/>
    <w:rsid w:val="1AA50A53"/>
    <w:rsid w:val="1AD256E6"/>
    <w:rsid w:val="1AD921C2"/>
    <w:rsid w:val="1AE7497D"/>
    <w:rsid w:val="1AE90995"/>
    <w:rsid w:val="1AF0511C"/>
    <w:rsid w:val="1AFB0A7C"/>
    <w:rsid w:val="1B083012"/>
    <w:rsid w:val="1B10109C"/>
    <w:rsid w:val="1B103DEF"/>
    <w:rsid w:val="1B302F1B"/>
    <w:rsid w:val="1B4D6CE5"/>
    <w:rsid w:val="1B727083"/>
    <w:rsid w:val="1B9A2B2A"/>
    <w:rsid w:val="1BA125C3"/>
    <w:rsid w:val="1BE4757E"/>
    <w:rsid w:val="1BFB6459"/>
    <w:rsid w:val="1BFC2779"/>
    <w:rsid w:val="1C0D529D"/>
    <w:rsid w:val="1C0E3CAC"/>
    <w:rsid w:val="1C180D7A"/>
    <w:rsid w:val="1C3E366D"/>
    <w:rsid w:val="1C4B249F"/>
    <w:rsid w:val="1C6D6C34"/>
    <w:rsid w:val="1C8D2C0D"/>
    <w:rsid w:val="1CA109AA"/>
    <w:rsid w:val="1D2B0985"/>
    <w:rsid w:val="1D3628C9"/>
    <w:rsid w:val="1D3C5185"/>
    <w:rsid w:val="1D441CD4"/>
    <w:rsid w:val="1D472DE5"/>
    <w:rsid w:val="1DD50B99"/>
    <w:rsid w:val="1E0E17C3"/>
    <w:rsid w:val="1E495B76"/>
    <w:rsid w:val="1E531785"/>
    <w:rsid w:val="1E5E7FA2"/>
    <w:rsid w:val="1E5F5FA7"/>
    <w:rsid w:val="1E623DA4"/>
    <w:rsid w:val="1EA27333"/>
    <w:rsid w:val="1EE75448"/>
    <w:rsid w:val="1EE819DC"/>
    <w:rsid w:val="1F4F713A"/>
    <w:rsid w:val="1F5C285D"/>
    <w:rsid w:val="1FA05255"/>
    <w:rsid w:val="1FAD4D34"/>
    <w:rsid w:val="1FB32E23"/>
    <w:rsid w:val="1FB60771"/>
    <w:rsid w:val="1FE53DA8"/>
    <w:rsid w:val="1FE86BD8"/>
    <w:rsid w:val="1FED19E9"/>
    <w:rsid w:val="200D637D"/>
    <w:rsid w:val="201D3D70"/>
    <w:rsid w:val="203F6CA9"/>
    <w:rsid w:val="20644094"/>
    <w:rsid w:val="20654B16"/>
    <w:rsid w:val="20BC3982"/>
    <w:rsid w:val="20CE58D7"/>
    <w:rsid w:val="20FF0503"/>
    <w:rsid w:val="21474257"/>
    <w:rsid w:val="21530EDA"/>
    <w:rsid w:val="21912D18"/>
    <w:rsid w:val="219A0E53"/>
    <w:rsid w:val="21D6498F"/>
    <w:rsid w:val="21E67D7F"/>
    <w:rsid w:val="21ED0B0C"/>
    <w:rsid w:val="21F4024A"/>
    <w:rsid w:val="21FD3FB8"/>
    <w:rsid w:val="223A49BC"/>
    <w:rsid w:val="22543BD2"/>
    <w:rsid w:val="225E5101"/>
    <w:rsid w:val="225F1B94"/>
    <w:rsid w:val="22644A71"/>
    <w:rsid w:val="226E48B8"/>
    <w:rsid w:val="2299125F"/>
    <w:rsid w:val="22B12985"/>
    <w:rsid w:val="22DA101C"/>
    <w:rsid w:val="22DA46AE"/>
    <w:rsid w:val="22E70512"/>
    <w:rsid w:val="22E761D2"/>
    <w:rsid w:val="22F8302D"/>
    <w:rsid w:val="230A3C2D"/>
    <w:rsid w:val="231056EC"/>
    <w:rsid w:val="23324061"/>
    <w:rsid w:val="23382A93"/>
    <w:rsid w:val="233E2CBF"/>
    <w:rsid w:val="236F2B0A"/>
    <w:rsid w:val="238919A7"/>
    <w:rsid w:val="23AC6293"/>
    <w:rsid w:val="23C162C4"/>
    <w:rsid w:val="23E647AA"/>
    <w:rsid w:val="23F8215D"/>
    <w:rsid w:val="24050C21"/>
    <w:rsid w:val="240942CF"/>
    <w:rsid w:val="24583752"/>
    <w:rsid w:val="245C5F94"/>
    <w:rsid w:val="245E425A"/>
    <w:rsid w:val="2479569D"/>
    <w:rsid w:val="24980035"/>
    <w:rsid w:val="24DB0014"/>
    <w:rsid w:val="24EC6A59"/>
    <w:rsid w:val="24ED44A9"/>
    <w:rsid w:val="24F5015B"/>
    <w:rsid w:val="250F41CA"/>
    <w:rsid w:val="25250C18"/>
    <w:rsid w:val="255575A2"/>
    <w:rsid w:val="256871E6"/>
    <w:rsid w:val="257349C9"/>
    <w:rsid w:val="25890963"/>
    <w:rsid w:val="25A82A32"/>
    <w:rsid w:val="25FB4CFD"/>
    <w:rsid w:val="26007489"/>
    <w:rsid w:val="262E73C4"/>
    <w:rsid w:val="262F5FBC"/>
    <w:rsid w:val="26360233"/>
    <w:rsid w:val="263D35EE"/>
    <w:rsid w:val="264C57C6"/>
    <w:rsid w:val="266A5A92"/>
    <w:rsid w:val="2670297E"/>
    <w:rsid w:val="26A45726"/>
    <w:rsid w:val="26B071A5"/>
    <w:rsid w:val="26B14DD4"/>
    <w:rsid w:val="26B3564E"/>
    <w:rsid w:val="26BB7F2E"/>
    <w:rsid w:val="26DA427D"/>
    <w:rsid w:val="26F818CB"/>
    <w:rsid w:val="270B1E9C"/>
    <w:rsid w:val="27135890"/>
    <w:rsid w:val="276307CD"/>
    <w:rsid w:val="277A53C8"/>
    <w:rsid w:val="27C50A66"/>
    <w:rsid w:val="27D32F73"/>
    <w:rsid w:val="27D67935"/>
    <w:rsid w:val="27EF2FA1"/>
    <w:rsid w:val="280C3A74"/>
    <w:rsid w:val="28147777"/>
    <w:rsid w:val="2821467E"/>
    <w:rsid w:val="285750B4"/>
    <w:rsid w:val="28606623"/>
    <w:rsid w:val="286D0C67"/>
    <w:rsid w:val="286E18F8"/>
    <w:rsid w:val="28A26B2B"/>
    <w:rsid w:val="28A35DE6"/>
    <w:rsid w:val="28B0383D"/>
    <w:rsid w:val="28C20DAF"/>
    <w:rsid w:val="28E31D4B"/>
    <w:rsid w:val="28E3666A"/>
    <w:rsid w:val="291D00AB"/>
    <w:rsid w:val="296D44FD"/>
    <w:rsid w:val="29715AA3"/>
    <w:rsid w:val="297752DB"/>
    <w:rsid w:val="29C160F3"/>
    <w:rsid w:val="29F70C14"/>
    <w:rsid w:val="2A6512D0"/>
    <w:rsid w:val="2A7811C9"/>
    <w:rsid w:val="2AB603B7"/>
    <w:rsid w:val="2AC8629E"/>
    <w:rsid w:val="2ACF587B"/>
    <w:rsid w:val="2AD22BE3"/>
    <w:rsid w:val="2B2B39C8"/>
    <w:rsid w:val="2B8257A3"/>
    <w:rsid w:val="2B8E0780"/>
    <w:rsid w:val="2BA64174"/>
    <w:rsid w:val="2BDF7446"/>
    <w:rsid w:val="2BF448D0"/>
    <w:rsid w:val="2BF7413F"/>
    <w:rsid w:val="2C0C1224"/>
    <w:rsid w:val="2C2B56F4"/>
    <w:rsid w:val="2C870293"/>
    <w:rsid w:val="2CCA5250"/>
    <w:rsid w:val="2CE50E4F"/>
    <w:rsid w:val="2CEC44A7"/>
    <w:rsid w:val="2CEC6756"/>
    <w:rsid w:val="2CFD529D"/>
    <w:rsid w:val="2D4F3478"/>
    <w:rsid w:val="2D53439F"/>
    <w:rsid w:val="2D656052"/>
    <w:rsid w:val="2D6F4A3A"/>
    <w:rsid w:val="2D8932C5"/>
    <w:rsid w:val="2D8F0767"/>
    <w:rsid w:val="2DA21C31"/>
    <w:rsid w:val="2DA501C7"/>
    <w:rsid w:val="2DE72601"/>
    <w:rsid w:val="2DED71D0"/>
    <w:rsid w:val="2E003F2C"/>
    <w:rsid w:val="2E4146BA"/>
    <w:rsid w:val="2E5D74BD"/>
    <w:rsid w:val="2EB561E7"/>
    <w:rsid w:val="2ED26AE6"/>
    <w:rsid w:val="2EFA2176"/>
    <w:rsid w:val="2F0F0AF9"/>
    <w:rsid w:val="2F197814"/>
    <w:rsid w:val="2F340F6B"/>
    <w:rsid w:val="2F4941B9"/>
    <w:rsid w:val="2F4B316D"/>
    <w:rsid w:val="2F514BDF"/>
    <w:rsid w:val="2F660025"/>
    <w:rsid w:val="2F7213FE"/>
    <w:rsid w:val="2F7738F8"/>
    <w:rsid w:val="2FCA4EBF"/>
    <w:rsid w:val="2FF94A8A"/>
    <w:rsid w:val="2FFB4EE3"/>
    <w:rsid w:val="30021B80"/>
    <w:rsid w:val="307132EE"/>
    <w:rsid w:val="3071742D"/>
    <w:rsid w:val="30830AF8"/>
    <w:rsid w:val="308B6BBE"/>
    <w:rsid w:val="30973E3B"/>
    <w:rsid w:val="30A56148"/>
    <w:rsid w:val="30A9415D"/>
    <w:rsid w:val="30B137CE"/>
    <w:rsid w:val="30E77AE5"/>
    <w:rsid w:val="311E11C3"/>
    <w:rsid w:val="3123413E"/>
    <w:rsid w:val="31662445"/>
    <w:rsid w:val="31757B37"/>
    <w:rsid w:val="31BF1D6B"/>
    <w:rsid w:val="31CC3897"/>
    <w:rsid w:val="31F06A67"/>
    <w:rsid w:val="31F20944"/>
    <w:rsid w:val="31F30090"/>
    <w:rsid w:val="321750C7"/>
    <w:rsid w:val="322B13F9"/>
    <w:rsid w:val="323440F4"/>
    <w:rsid w:val="32513E54"/>
    <w:rsid w:val="32521EC2"/>
    <w:rsid w:val="32541103"/>
    <w:rsid w:val="325D62A5"/>
    <w:rsid w:val="32951E4F"/>
    <w:rsid w:val="32C632B4"/>
    <w:rsid w:val="32D956E4"/>
    <w:rsid w:val="32DE3193"/>
    <w:rsid w:val="33201432"/>
    <w:rsid w:val="33203596"/>
    <w:rsid w:val="33296744"/>
    <w:rsid w:val="33304BE5"/>
    <w:rsid w:val="33443361"/>
    <w:rsid w:val="334B7B82"/>
    <w:rsid w:val="336E2915"/>
    <w:rsid w:val="337E1E98"/>
    <w:rsid w:val="338826DD"/>
    <w:rsid w:val="341118D3"/>
    <w:rsid w:val="3431451A"/>
    <w:rsid w:val="3475517D"/>
    <w:rsid w:val="347832AE"/>
    <w:rsid w:val="34804C81"/>
    <w:rsid w:val="34B57F92"/>
    <w:rsid w:val="34D97B8C"/>
    <w:rsid w:val="34DF6FD1"/>
    <w:rsid w:val="355C28F3"/>
    <w:rsid w:val="3562141D"/>
    <w:rsid w:val="356F0458"/>
    <w:rsid w:val="357A480F"/>
    <w:rsid w:val="35AE09D6"/>
    <w:rsid w:val="35B57D70"/>
    <w:rsid w:val="35D5638F"/>
    <w:rsid w:val="35E673C5"/>
    <w:rsid w:val="35FC3473"/>
    <w:rsid w:val="360E2F4B"/>
    <w:rsid w:val="36280CA0"/>
    <w:rsid w:val="36431049"/>
    <w:rsid w:val="36637FCE"/>
    <w:rsid w:val="369372DD"/>
    <w:rsid w:val="369B23DD"/>
    <w:rsid w:val="36A96832"/>
    <w:rsid w:val="36DD64BD"/>
    <w:rsid w:val="36FA502E"/>
    <w:rsid w:val="36FE68EB"/>
    <w:rsid w:val="370174D7"/>
    <w:rsid w:val="371D475D"/>
    <w:rsid w:val="375B31CF"/>
    <w:rsid w:val="3771790A"/>
    <w:rsid w:val="37862F1C"/>
    <w:rsid w:val="37907523"/>
    <w:rsid w:val="37A220D6"/>
    <w:rsid w:val="37C8726A"/>
    <w:rsid w:val="37CB3305"/>
    <w:rsid w:val="37CD064B"/>
    <w:rsid w:val="37DA0766"/>
    <w:rsid w:val="37DC4DCA"/>
    <w:rsid w:val="38011F13"/>
    <w:rsid w:val="38092134"/>
    <w:rsid w:val="381F2109"/>
    <w:rsid w:val="38291188"/>
    <w:rsid w:val="38383D32"/>
    <w:rsid w:val="3840466B"/>
    <w:rsid w:val="384F5EB2"/>
    <w:rsid w:val="386861F0"/>
    <w:rsid w:val="387D77EA"/>
    <w:rsid w:val="38A76545"/>
    <w:rsid w:val="38B40F32"/>
    <w:rsid w:val="38E56E3B"/>
    <w:rsid w:val="38FB529C"/>
    <w:rsid w:val="390A0757"/>
    <w:rsid w:val="391F7EE9"/>
    <w:rsid w:val="39312654"/>
    <w:rsid w:val="393F0F3E"/>
    <w:rsid w:val="39827AC9"/>
    <w:rsid w:val="39834EC9"/>
    <w:rsid w:val="399F7509"/>
    <w:rsid w:val="39A41CBC"/>
    <w:rsid w:val="39C4495A"/>
    <w:rsid w:val="3A5721C0"/>
    <w:rsid w:val="3A6B3DE9"/>
    <w:rsid w:val="3A8859D3"/>
    <w:rsid w:val="3AEC1169"/>
    <w:rsid w:val="3B2F6E6B"/>
    <w:rsid w:val="3B3B6990"/>
    <w:rsid w:val="3B5714EA"/>
    <w:rsid w:val="3BC5203D"/>
    <w:rsid w:val="3BE93679"/>
    <w:rsid w:val="3BEA4435"/>
    <w:rsid w:val="3BF237DC"/>
    <w:rsid w:val="3C0E31F5"/>
    <w:rsid w:val="3C435159"/>
    <w:rsid w:val="3C5C2F53"/>
    <w:rsid w:val="3C5D61ED"/>
    <w:rsid w:val="3C8604DB"/>
    <w:rsid w:val="3CAB403F"/>
    <w:rsid w:val="3CAE7F03"/>
    <w:rsid w:val="3CB33895"/>
    <w:rsid w:val="3CB42013"/>
    <w:rsid w:val="3CB76904"/>
    <w:rsid w:val="3CFC7858"/>
    <w:rsid w:val="3D0708D5"/>
    <w:rsid w:val="3D170750"/>
    <w:rsid w:val="3D221D85"/>
    <w:rsid w:val="3D3B2FE5"/>
    <w:rsid w:val="3D5E464D"/>
    <w:rsid w:val="3D7D64E5"/>
    <w:rsid w:val="3DAA1740"/>
    <w:rsid w:val="3DAC29DF"/>
    <w:rsid w:val="3DB51D3D"/>
    <w:rsid w:val="3DBD278D"/>
    <w:rsid w:val="3DD03DD9"/>
    <w:rsid w:val="3DD40DC9"/>
    <w:rsid w:val="3E080F28"/>
    <w:rsid w:val="3E283F42"/>
    <w:rsid w:val="3E4A347A"/>
    <w:rsid w:val="3E7B7178"/>
    <w:rsid w:val="3E84400F"/>
    <w:rsid w:val="3E950BAD"/>
    <w:rsid w:val="3EA22B57"/>
    <w:rsid w:val="3EBF5D3B"/>
    <w:rsid w:val="3EC02433"/>
    <w:rsid w:val="3EC945A9"/>
    <w:rsid w:val="3EE501A6"/>
    <w:rsid w:val="3F57438B"/>
    <w:rsid w:val="3F5F5C84"/>
    <w:rsid w:val="3F6562DB"/>
    <w:rsid w:val="3FCF538A"/>
    <w:rsid w:val="3FD509FA"/>
    <w:rsid w:val="3FEB1CE1"/>
    <w:rsid w:val="4003348F"/>
    <w:rsid w:val="40341D10"/>
    <w:rsid w:val="40377786"/>
    <w:rsid w:val="40633048"/>
    <w:rsid w:val="40774611"/>
    <w:rsid w:val="408E64FA"/>
    <w:rsid w:val="409B1A6D"/>
    <w:rsid w:val="40B973D0"/>
    <w:rsid w:val="41142F43"/>
    <w:rsid w:val="41154D6F"/>
    <w:rsid w:val="415679EA"/>
    <w:rsid w:val="41BC0B0A"/>
    <w:rsid w:val="41D330B2"/>
    <w:rsid w:val="41FC0D50"/>
    <w:rsid w:val="420B6D0A"/>
    <w:rsid w:val="4220653E"/>
    <w:rsid w:val="42585A68"/>
    <w:rsid w:val="425A46E9"/>
    <w:rsid w:val="425B6E16"/>
    <w:rsid w:val="42860AD4"/>
    <w:rsid w:val="42A9298C"/>
    <w:rsid w:val="42C23590"/>
    <w:rsid w:val="42CA7C38"/>
    <w:rsid w:val="42D86859"/>
    <w:rsid w:val="42FF6301"/>
    <w:rsid w:val="43074889"/>
    <w:rsid w:val="435B4977"/>
    <w:rsid w:val="43673A56"/>
    <w:rsid w:val="437600B1"/>
    <w:rsid w:val="438B2B43"/>
    <w:rsid w:val="43961144"/>
    <w:rsid w:val="43E5197B"/>
    <w:rsid w:val="43ED36AA"/>
    <w:rsid w:val="43F55F7F"/>
    <w:rsid w:val="43F94900"/>
    <w:rsid w:val="44730F93"/>
    <w:rsid w:val="44A71CE1"/>
    <w:rsid w:val="44B856ED"/>
    <w:rsid w:val="44BA1B01"/>
    <w:rsid w:val="452F6142"/>
    <w:rsid w:val="4547631F"/>
    <w:rsid w:val="454911EB"/>
    <w:rsid w:val="454B2E3E"/>
    <w:rsid w:val="45685CAB"/>
    <w:rsid w:val="45723D43"/>
    <w:rsid w:val="45922E38"/>
    <w:rsid w:val="45991313"/>
    <w:rsid w:val="459D79C7"/>
    <w:rsid w:val="45A246A7"/>
    <w:rsid w:val="45BC04D8"/>
    <w:rsid w:val="45F5193B"/>
    <w:rsid w:val="45FA3268"/>
    <w:rsid w:val="45FB468D"/>
    <w:rsid w:val="45FE6B96"/>
    <w:rsid w:val="461A0E1E"/>
    <w:rsid w:val="461C1BAE"/>
    <w:rsid w:val="464C74F4"/>
    <w:rsid w:val="46542900"/>
    <w:rsid w:val="46687934"/>
    <w:rsid w:val="46B72610"/>
    <w:rsid w:val="46CF0F8A"/>
    <w:rsid w:val="46D605A0"/>
    <w:rsid w:val="470F2A6C"/>
    <w:rsid w:val="473A4528"/>
    <w:rsid w:val="47497F2D"/>
    <w:rsid w:val="475C4AD5"/>
    <w:rsid w:val="47A55389"/>
    <w:rsid w:val="47A8038F"/>
    <w:rsid w:val="47FE3874"/>
    <w:rsid w:val="4814689C"/>
    <w:rsid w:val="48682BCC"/>
    <w:rsid w:val="486C6319"/>
    <w:rsid w:val="48784FFA"/>
    <w:rsid w:val="48B2133F"/>
    <w:rsid w:val="48C41230"/>
    <w:rsid w:val="48CC2EB8"/>
    <w:rsid w:val="48D52BD8"/>
    <w:rsid w:val="48E25491"/>
    <w:rsid w:val="48F92F65"/>
    <w:rsid w:val="49145770"/>
    <w:rsid w:val="49275915"/>
    <w:rsid w:val="494E332C"/>
    <w:rsid w:val="49672140"/>
    <w:rsid w:val="49850686"/>
    <w:rsid w:val="49A44CAF"/>
    <w:rsid w:val="49C20AEB"/>
    <w:rsid w:val="4A291512"/>
    <w:rsid w:val="4A4A5373"/>
    <w:rsid w:val="4A5A1B6F"/>
    <w:rsid w:val="4A6C1C26"/>
    <w:rsid w:val="4A6F2A72"/>
    <w:rsid w:val="4A7E185C"/>
    <w:rsid w:val="4A952249"/>
    <w:rsid w:val="4A9953CA"/>
    <w:rsid w:val="4AC76EFC"/>
    <w:rsid w:val="4AF404B2"/>
    <w:rsid w:val="4B116C40"/>
    <w:rsid w:val="4B184E64"/>
    <w:rsid w:val="4B261B4B"/>
    <w:rsid w:val="4B26729C"/>
    <w:rsid w:val="4B270358"/>
    <w:rsid w:val="4B4D7456"/>
    <w:rsid w:val="4B694C33"/>
    <w:rsid w:val="4BB3744B"/>
    <w:rsid w:val="4BCD415B"/>
    <w:rsid w:val="4BD37F3F"/>
    <w:rsid w:val="4C1774A7"/>
    <w:rsid w:val="4C3323F1"/>
    <w:rsid w:val="4C962D53"/>
    <w:rsid w:val="4C9D180C"/>
    <w:rsid w:val="4D107F4B"/>
    <w:rsid w:val="4D2E13F3"/>
    <w:rsid w:val="4DCA64C9"/>
    <w:rsid w:val="4DD44F9B"/>
    <w:rsid w:val="4DED35D1"/>
    <w:rsid w:val="4E0617C9"/>
    <w:rsid w:val="4E0F7765"/>
    <w:rsid w:val="4E173F4E"/>
    <w:rsid w:val="4E577748"/>
    <w:rsid w:val="4E694BF8"/>
    <w:rsid w:val="4E7B0435"/>
    <w:rsid w:val="4E83041B"/>
    <w:rsid w:val="4ECF2098"/>
    <w:rsid w:val="4ED56D41"/>
    <w:rsid w:val="4F284D5A"/>
    <w:rsid w:val="4F3E79D2"/>
    <w:rsid w:val="4F4D0521"/>
    <w:rsid w:val="4F5B5EEF"/>
    <w:rsid w:val="4F831AEF"/>
    <w:rsid w:val="4F9D54DB"/>
    <w:rsid w:val="4FC40637"/>
    <w:rsid w:val="4FCA09CB"/>
    <w:rsid w:val="4FCE0969"/>
    <w:rsid w:val="4FF74392"/>
    <w:rsid w:val="501557C1"/>
    <w:rsid w:val="5022071B"/>
    <w:rsid w:val="5051756C"/>
    <w:rsid w:val="509974B6"/>
    <w:rsid w:val="50A83E82"/>
    <w:rsid w:val="50BE2019"/>
    <w:rsid w:val="50D66454"/>
    <w:rsid w:val="51186832"/>
    <w:rsid w:val="51587DC6"/>
    <w:rsid w:val="516E3915"/>
    <w:rsid w:val="516E39BD"/>
    <w:rsid w:val="51855E7D"/>
    <w:rsid w:val="51A076D4"/>
    <w:rsid w:val="51A312D5"/>
    <w:rsid w:val="51B83E7B"/>
    <w:rsid w:val="520774D4"/>
    <w:rsid w:val="5276574E"/>
    <w:rsid w:val="527719F4"/>
    <w:rsid w:val="52AE67AD"/>
    <w:rsid w:val="52B31608"/>
    <w:rsid w:val="52C03CEB"/>
    <w:rsid w:val="52ED7390"/>
    <w:rsid w:val="530D3ED9"/>
    <w:rsid w:val="53125DE3"/>
    <w:rsid w:val="531A302D"/>
    <w:rsid w:val="533A6535"/>
    <w:rsid w:val="536D0A3D"/>
    <w:rsid w:val="537058B0"/>
    <w:rsid w:val="53976939"/>
    <w:rsid w:val="53BA3AFE"/>
    <w:rsid w:val="53C1753B"/>
    <w:rsid w:val="53C83B5C"/>
    <w:rsid w:val="53C924FD"/>
    <w:rsid w:val="54013BB4"/>
    <w:rsid w:val="540A2CAC"/>
    <w:rsid w:val="5420560D"/>
    <w:rsid w:val="5443433A"/>
    <w:rsid w:val="546C17F0"/>
    <w:rsid w:val="5472291E"/>
    <w:rsid w:val="54FB6801"/>
    <w:rsid w:val="54FD395F"/>
    <w:rsid w:val="55181304"/>
    <w:rsid w:val="552D1E14"/>
    <w:rsid w:val="55431C08"/>
    <w:rsid w:val="5545162F"/>
    <w:rsid w:val="55637931"/>
    <w:rsid w:val="55771AE7"/>
    <w:rsid w:val="55927808"/>
    <w:rsid w:val="55B25AA1"/>
    <w:rsid w:val="55CF1226"/>
    <w:rsid w:val="55F52A9D"/>
    <w:rsid w:val="560057C5"/>
    <w:rsid w:val="56352D87"/>
    <w:rsid w:val="56877D8B"/>
    <w:rsid w:val="568D1665"/>
    <w:rsid w:val="569C38F0"/>
    <w:rsid w:val="569E3A23"/>
    <w:rsid w:val="56B738F8"/>
    <w:rsid w:val="56CE77CE"/>
    <w:rsid w:val="56E817C7"/>
    <w:rsid w:val="570874C7"/>
    <w:rsid w:val="570951DA"/>
    <w:rsid w:val="572043B9"/>
    <w:rsid w:val="5727159D"/>
    <w:rsid w:val="572921DA"/>
    <w:rsid w:val="57793502"/>
    <w:rsid w:val="578A1F57"/>
    <w:rsid w:val="57B4403A"/>
    <w:rsid w:val="57BA37C2"/>
    <w:rsid w:val="57F24995"/>
    <w:rsid w:val="58004D21"/>
    <w:rsid w:val="58012A54"/>
    <w:rsid w:val="58013D5E"/>
    <w:rsid w:val="580164C4"/>
    <w:rsid w:val="580C42DE"/>
    <w:rsid w:val="584600D3"/>
    <w:rsid w:val="584A0362"/>
    <w:rsid w:val="584B4C11"/>
    <w:rsid w:val="58696F73"/>
    <w:rsid w:val="587C5D02"/>
    <w:rsid w:val="58A57369"/>
    <w:rsid w:val="58D62897"/>
    <w:rsid w:val="58DF5819"/>
    <w:rsid w:val="591C45DB"/>
    <w:rsid w:val="59504B96"/>
    <w:rsid w:val="598B4CA9"/>
    <w:rsid w:val="598F4BF9"/>
    <w:rsid w:val="59A26A55"/>
    <w:rsid w:val="59D80002"/>
    <w:rsid w:val="59F03EC1"/>
    <w:rsid w:val="59F25908"/>
    <w:rsid w:val="5A0D4593"/>
    <w:rsid w:val="5A3252EA"/>
    <w:rsid w:val="5A6076E3"/>
    <w:rsid w:val="5A7C566C"/>
    <w:rsid w:val="5A924BBE"/>
    <w:rsid w:val="5A951BE8"/>
    <w:rsid w:val="5A9B1DBF"/>
    <w:rsid w:val="5AA65679"/>
    <w:rsid w:val="5AD0313D"/>
    <w:rsid w:val="5AF366DB"/>
    <w:rsid w:val="5AFC3F19"/>
    <w:rsid w:val="5B0722B1"/>
    <w:rsid w:val="5B0C75B8"/>
    <w:rsid w:val="5B187260"/>
    <w:rsid w:val="5B406324"/>
    <w:rsid w:val="5B7319D4"/>
    <w:rsid w:val="5B770497"/>
    <w:rsid w:val="5BA37D08"/>
    <w:rsid w:val="5BCA2D23"/>
    <w:rsid w:val="5BF63700"/>
    <w:rsid w:val="5C08000C"/>
    <w:rsid w:val="5C79269E"/>
    <w:rsid w:val="5C8C3429"/>
    <w:rsid w:val="5CC0634D"/>
    <w:rsid w:val="5CF0301A"/>
    <w:rsid w:val="5D31457E"/>
    <w:rsid w:val="5D4D5A0C"/>
    <w:rsid w:val="5D6C5A34"/>
    <w:rsid w:val="5D707812"/>
    <w:rsid w:val="5D8E7234"/>
    <w:rsid w:val="5D931C3A"/>
    <w:rsid w:val="5DD90EFE"/>
    <w:rsid w:val="5E1B14E6"/>
    <w:rsid w:val="5E233282"/>
    <w:rsid w:val="5E451B6C"/>
    <w:rsid w:val="5E5C610A"/>
    <w:rsid w:val="5E610D13"/>
    <w:rsid w:val="5E885F5E"/>
    <w:rsid w:val="5E9C39A0"/>
    <w:rsid w:val="5EC31F9D"/>
    <w:rsid w:val="5ECD36A0"/>
    <w:rsid w:val="5EE71438"/>
    <w:rsid w:val="5EED4BED"/>
    <w:rsid w:val="5EF74B09"/>
    <w:rsid w:val="5F042C79"/>
    <w:rsid w:val="5F17339C"/>
    <w:rsid w:val="5F3E751D"/>
    <w:rsid w:val="5F414AFB"/>
    <w:rsid w:val="5F5533F6"/>
    <w:rsid w:val="5F595548"/>
    <w:rsid w:val="5F722E39"/>
    <w:rsid w:val="5F8F0C8B"/>
    <w:rsid w:val="5F93155A"/>
    <w:rsid w:val="5FB734E1"/>
    <w:rsid w:val="5FBC7E50"/>
    <w:rsid w:val="5FBF485C"/>
    <w:rsid w:val="5FDA70A4"/>
    <w:rsid w:val="5FFB34E7"/>
    <w:rsid w:val="600630E1"/>
    <w:rsid w:val="60890DEE"/>
    <w:rsid w:val="609220A3"/>
    <w:rsid w:val="60C131A7"/>
    <w:rsid w:val="61430249"/>
    <w:rsid w:val="61533084"/>
    <w:rsid w:val="6176389E"/>
    <w:rsid w:val="618A5A7E"/>
    <w:rsid w:val="619F3CC8"/>
    <w:rsid w:val="61A34CAC"/>
    <w:rsid w:val="61C70642"/>
    <w:rsid w:val="61CA3B1B"/>
    <w:rsid w:val="620554C0"/>
    <w:rsid w:val="621845E4"/>
    <w:rsid w:val="622C1123"/>
    <w:rsid w:val="62404C9B"/>
    <w:rsid w:val="624169EF"/>
    <w:rsid w:val="624D12C9"/>
    <w:rsid w:val="62705CF7"/>
    <w:rsid w:val="62AD12C9"/>
    <w:rsid w:val="62DE65F5"/>
    <w:rsid w:val="63140226"/>
    <w:rsid w:val="6324411C"/>
    <w:rsid w:val="6327710F"/>
    <w:rsid w:val="636138B8"/>
    <w:rsid w:val="63620875"/>
    <w:rsid w:val="63A57E07"/>
    <w:rsid w:val="63B75D72"/>
    <w:rsid w:val="63DF6D57"/>
    <w:rsid w:val="63E9210F"/>
    <w:rsid w:val="63F50235"/>
    <w:rsid w:val="6414529A"/>
    <w:rsid w:val="642E25AF"/>
    <w:rsid w:val="643A1BCB"/>
    <w:rsid w:val="64460EC9"/>
    <w:rsid w:val="645A5570"/>
    <w:rsid w:val="64687D75"/>
    <w:rsid w:val="64A60940"/>
    <w:rsid w:val="64E27F0B"/>
    <w:rsid w:val="64E70556"/>
    <w:rsid w:val="64FF2045"/>
    <w:rsid w:val="654870D7"/>
    <w:rsid w:val="65BB28BC"/>
    <w:rsid w:val="65BB7BD2"/>
    <w:rsid w:val="65E02210"/>
    <w:rsid w:val="65E402D1"/>
    <w:rsid w:val="65F90547"/>
    <w:rsid w:val="660214D9"/>
    <w:rsid w:val="663353A0"/>
    <w:rsid w:val="663B2531"/>
    <w:rsid w:val="663C2061"/>
    <w:rsid w:val="666122FB"/>
    <w:rsid w:val="668A00BF"/>
    <w:rsid w:val="66C567D8"/>
    <w:rsid w:val="66DE02FD"/>
    <w:rsid w:val="67422650"/>
    <w:rsid w:val="67600AB7"/>
    <w:rsid w:val="67647D8D"/>
    <w:rsid w:val="67726081"/>
    <w:rsid w:val="6772668D"/>
    <w:rsid w:val="67942408"/>
    <w:rsid w:val="679E160E"/>
    <w:rsid w:val="67A91638"/>
    <w:rsid w:val="67B50098"/>
    <w:rsid w:val="67CA53E9"/>
    <w:rsid w:val="67E57352"/>
    <w:rsid w:val="67F24078"/>
    <w:rsid w:val="681672C4"/>
    <w:rsid w:val="681D6935"/>
    <w:rsid w:val="683A6835"/>
    <w:rsid w:val="684556D3"/>
    <w:rsid w:val="685A36E7"/>
    <w:rsid w:val="688657BF"/>
    <w:rsid w:val="690441C1"/>
    <w:rsid w:val="691236FB"/>
    <w:rsid w:val="69176C6C"/>
    <w:rsid w:val="69A72F31"/>
    <w:rsid w:val="69BA0341"/>
    <w:rsid w:val="69D937B4"/>
    <w:rsid w:val="69F6030C"/>
    <w:rsid w:val="6A427587"/>
    <w:rsid w:val="6A457FE7"/>
    <w:rsid w:val="6A567448"/>
    <w:rsid w:val="6AB94F39"/>
    <w:rsid w:val="6B282693"/>
    <w:rsid w:val="6B696910"/>
    <w:rsid w:val="6B7E3D7E"/>
    <w:rsid w:val="6B9075BE"/>
    <w:rsid w:val="6B9A051D"/>
    <w:rsid w:val="6BD938FC"/>
    <w:rsid w:val="6BF062A3"/>
    <w:rsid w:val="6C294310"/>
    <w:rsid w:val="6C2F2E09"/>
    <w:rsid w:val="6C3034B6"/>
    <w:rsid w:val="6C372527"/>
    <w:rsid w:val="6C391E58"/>
    <w:rsid w:val="6C3E4827"/>
    <w:rsid w:val="6C5C0889"/>
    <w:rsid w:val="6C5E4F57"/>
    <w:rsid w:val="6C6E7CA4"/>
    <w:rsid w:val="6C961F2A"/>
    <w:rsid w:val="6CC272CB"/>
    <w:rsid w:val="6CC3259F"/>
    <w:rsid w:val="6CCB30BC"/>
    <w:rsid w:val="6CD47081"/>
    <w:rsid w:val="6CD67865"/>
    <w:rsid w:val="6CE43F8B"/>
    <w:rsid w:val="6CE53980"/>
    <w:rsid w:val="6CFF15DF"/>
    <w:rsid w:val="6D070B00"/>
    <w:rsid w:val="6D334CD5"/>
    <w:rsid w:val="6D6F717A"/>
    <w:rsid w:val="6D790666"/>
    <w:rsid w:val="6D877AF3"/>
    <w:rsid w:val="6D8B56B2"/>
    <w:rsid w:val="6D99301D"/>
    <w:rsid w:val="6D9E02CB"/>
    <w:rsid w:val="6DB86A04"/>
    <w:rsid w:val="6DE95446"/>
    <w:rsid w:val="6E10131A"/>
    <w:rsid w:val="6E283E76"/>
    <w:rsid w:val="6E3F4D51"/>
    <w:rsid w:val="6E762967"/>
    <w:rsid w:val="6E790B5E"/>
    <w:rsid w:val="6E7C7666"/>
    <w:rsid w:val="6EC53D03"/>
    <w:rsid w:val="6F09769A"/>
    <w:rsid w:val="6F25546B"/>
    <w:rsid w:val="6F293AC7"/>
    <w:rsid w:val="6F2F0A46"/>
    <w:rsid w:val="6F4A6EBE"/>
    <w:rsid w:val="6F5B2734"/>
    <w:rsid w:val="6FA92A80"/>
    <w:rsid w:val="6FC272B2"/>
    <w:rsid w:val="6FCD67FB"/>
    <w:rsid w:val="6FE02508"/>
    <w:rsid w:val="6FEE6954"/>
    <w:rsid w:val="70A979CE"/>
    <w:rsid w:val="70F110C0"/>
    <w:rsid w:val="712712FD"/>
    <w:rsid w:val="7141475C"/>
    <w:rsid w:val="71420791"/>
    <w:rsid w:val="7154634A"/>
    <w:rsid w:val="717423AD"/>
    <w:rsid w:val="71875E93"/>
    <w:rsid w:val="71985B82"/>
    <w:rsid w:val="71A45EFF"/>
    <w:rsid w:val="71E92CB0"/>
    <w:rsid w:val="724F5B9F"/>
    <w:rsid w:val="72581E11"/>
    <w:rsid w:val="7261090B"/>
    <w:rsid w:val="728F3A78"/>
    <w:rsid w:val="72AC6611"/>
    <w:rsid w:val="72B47398"/>
    <w:rsid w:val="72C52671"/>
    <w:rsid w:val="72FA5C8F"/>
    <w:rsid w:val="73036151"/>
    <w:rsid w:val="731A0DE4"/>
    <w:rsid w:val="733244E1"/>
    <w:rsid w:val="7359646D"/>
    <w:rsid w:val="735F5D86"/>
    <w:rsid w:val="73645A6F"/>
    <w:rsid w:val="7373178C"/>
    <w:rsid w:val="737960D4"/>
    <w:rsid w:val="737C413D"/>
    <w:rsid w:val="73887AB7"/>
    <w:rsid w:val="738A66FE"/>
    <w:rsid w:val="739C16F0"/>
    <w:rsid w:val="73A407FA"/>
    <w:rsid w:val="73AB4529"/>
    <w:rsid w:val="73B77F40"/>
    <w:rsid w:val="73BB2E10"/>
    <w:rsid w:val="73C97992"/>
    <w:rsid w:val="73D54305"/>
    <w:rsid w:val="741023CB"/>
    <w:rsid w:val="741C3AD1"/>
    <w:rsid w:val="741F562C"/>
    <w:rsid w:val="742521C2"/>
    <w:rsid w:val="743D3CCA"/>
    <w:rsid w:val="745366BD"/>
    <w:rsid w:val="74691D6F"/>
    <w:rsid w:val="746F50BB"/>
    <w:rsid w:val="74966AFB"/>
    <w:rsid w:val="74F83A94"/>
    <w:rsid w:val="74FA43A6"/>
    <w:rsid w:val="75004985"/>
    <w:rsid w:val="754F7FD3"/>
    <w:rsid w:val="757B686A"/>
    <w:rsid w:val="75865445"/>
    <w:rsid w:val="758A3085"/>
    <w:rsid w:val="759A3FE7"/>
    <w:rsid w:val="75AE11B2"/>
    <w:rsid w:val="75C82AF4"/>
    <w:rsid w:val="76035979"/>
    <w:rsid w:val="76075D7C"/>
    <w:rsid w:val="764B6E8E"/>
    <w:rsid w:val="76651A1D"/>
    <w:rsid w:val="76657066"/>
    <w:rsid w:val="766C240E"/>
    <w:rsid w:val="7671548D"/>
    <w:rsid w:val="76AA2B58"/>
    <w:rsid w:val="76D84955"/>
    <w:rsid w:val="770D0114"/>
    <w:rsid w:val="771623FA"/>
    <w:rsid w:val="77246677"/>
    <w:rsid w:val="77440FA5"/>
    <w:rsid w:val="775777C0"/>
    <w:rsid w:val="775C17BF"/>
    <w:rsid w:val="77804A57"/>
    <w:rsid w:val="77833E2E"/>
    <w:rsid w:val="77995DCF"/>
    <w:rsid w:val="77A4651D"/>
    <w:rsid w:val="77CE3656"/>
    <w:rsid w:val="783B042B"/>
    <w:rsid w:val="785C452B"/>
    <w:rsid w:val="78723C44"/>
    <w:rsid w:val="78E759A5"/>
    <w:rsid w:val="78ED0C36"/>
    <w:rsid w:val="78F2251E"/>
    <w:rsid w:val="790F75B2"/>
    <w:rsid w:val="79202329"/>
    <w:rsid w:val="792337CF"/>
    <w:rsid w:val="793E42C1"/>
    <w:rsid w:val="79481FB3"/>
    <w:rsid w:val="794C0BC9"/>
    <w:rsid w:val="7971156C"/>
    <w:rsid w:val="797C47BB"/>
    <w:rsid w:val="798732D8"/>
    <w:rsid w:val="798965FE"/>
    <w:rsid w:val="799A00B7"/>
    <w:rsid w:val="799C23EB"/>
    <w:rsid w:val="799D01D0"/>
    <w:rsid w:val="79A765CB"/>
    <w:rsid w:val="79AF4F51"/>
    <w:rsid w:val="79BE60A6"/>
    <w:rsid w:val="79E533FD"/>
    <w:rsid w:val="79E86ED9"/>
    <w:rsid w:val="79FE784C"/>
    <w:rsid w:val="7A1D66B4"/>
    <w:rsid w:val="7A1E24FB"/>
    <w:rsid w:val="7A2851D8"/>
    <w:rsid w:val="7A3A1879"/>
    <w:rsid w:val="7A6235BA"/>
    <w:rsid w:val="7A674D8B"/>
    <w:rsid w:val="7A6D5AD6"/>
    <w:rsid w:val="7A7C0BF5"/>
    <w:rsid w:val="7A881FC2"/>
    <w:rsid w:val="7AA2192A"/>
    <w:rsid w:val="7B2439E9"/>
    <w:rsid w:val="7B4B2B88"/>
    <w:rsid w:val="7B4D392E"/>
    <w:rsid w:val="7B7B0EE1"/>
    <w:rsid w:val="7B8602A9"/>
    <w:rsid w:val="7B9740C6"/>
    <w:rsid w:val="7B9B20D9"/>
    <w:rsid w:val="7BAC1682"/>
    <w:rsid w:val="7BEB4DB5"/>
    <w:rsid w:val="7C1D5682"/>
    <w:rsid w:val="7C38613C"/>
    <w:rsid w:val="7C5A4D40"/>
    <w:rsid w:val="7C623B81"/>
    <w:rsid w:val="7C88294E"/>
    <w:rsid w:val="7C9524D4"/>
    <w:rsid w:val="7CB82F8F"/>
    <w:rsid w:val="7CC80447"/>
    <w:rsid w:val="7CDC2745"/>
    <w:rsid w:val="7CF46486"/>
    <w:rsid w:val="7D0B2C32"/>
    <w:rsid w:val="7D127FA7"/>
    <w:rsid w:val="7D1A3DCF"/>
    <w:rsid w:val="7D436E90"/>
    <w:rsid w:val="7D4D3836"/>
    <w:rsid w:val="7D5500E6"/>
    <w:rsid w:val="7DB90477"/>
    <w:rsid w:val="7DFA3884"/>
    <w:rsid w:val="7E007592"/>
    <w:rsid w:val="7E27748F"/>
    <w:rsid w:val="7E2A11B0"/>
    <w:rsid w:val="7E645565"/>
    <w:rsid w:val="7E79485A"/>
    <w:rsid w:val="7E7C787C"/>
    <w:rsid w:val="7EAA7239"/>
    <w:rsid w:val="7EAC47BE"/>
    <w:rsid w:val="7EB12FE3"/>
    <w:rsid w:val="7EBD1909"/>
    <w:rsid w:val="7ECA6ADF"/>
    <w:rsid w:val="7ED41D70"/>
    <w:rsid w:val="7EE85CBA"/>
    <w:rsid w:val="7F0B4635"/>
    <w:rsid w:val="7F250AF1"/>
    <w:rsid w:val="7F2E1368"/>
    <w:rsid w:val="7F6158EA"/>
    <w:rsid w:val="7F645AF7"/>
    <w:rsid w:val="7F6A11DE"/>
    <w:rsid w:val="7F6A1E90"/>
    <w:rsid w:val="7F7E1EAD"/>
    <w:rsid w:val="7FAC6ACC"/>
    <w:rsid w:val="7FC65905"/>
    <w:rsid w:val="7FC973C6"/>
    <w:rsid w:val="7FE807B8"/>
    <w:rsid w:val="7FF54155"/>
    <w:rsid w:val="7FF95D94"/>
    <w:rsid w:val="7FFE46A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nhideWhenUsed="0" w:uiPriority="99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w Cen MT" w:hAnsi="Tw Cen MT" w:eastAsia="Tw Cen MT" w:cs="Tw Cen MT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47" w:line="400" w:lineRule="exact"/>
      <w:ind w:left="100"/>
      <w:outlineLvl w:val="0"/>
    </w:pPr>
    <w:rPr>
      <w:rFonts w:ascii="Minion Pro" w:hAnsi="Minion Pro" w:eastAsia="Minion Pro" w:cs="Minion Pro"/>
      <w:b/>
      <w:bCs/>
      <w:sz w:val="36"/>
      <w:szCs w:val="36"/>
    </w:rPr>
  </w:style>
  <w:style w:type="paragraph" w:styleId="3">
    <w:name w:val="heading 2"/>
    <w:basedOn w:val="1"/>
    <w:next w:val="1"/>
    <w:qFormat/>
    <w:uiPriority w:val="1"/>
    <w:pPr>
      <w:ind w:left="100"/>
      <w:outlineLvl w:val="1"/>
    </w:pPr>
    <w:rPr>
      <w:rFonts w:ascii="Minion Pro" w:hAnsi="Minion Pro" w:eastAsia="Minion Pro" w:cs="Minion Pro"/>
      <w:sz w:val="24"/>
      <w:szCs w:val="24"/>
    </w:rPr>
  </w:style>
  <w:style w:type="paragraph" w:styleId="4">
    <w:name w:val="heading 3"/>
    <w:basedOn w:val="1"/>
    <w:next w:val="1"/>
    <w:qFormat/>
    <w:uiPriority w:val="1"/>
    <w:pPr>
      <w:ind w:left="100"/>
      <w:outlineLvl w:val="2"/>
    </w:pPr>
    <w:rPr>
      <w:rFonts w:ascii="Arial" w:hAnsi="Arial" w:eastAsia="Arial" w:cs="Arial"/>
      <w:b/>
      <w:bCs/>
      <w:sz w:val="20"/>
      <w:szCs w:val="20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8"/>
    <w:qFormat/>
    <w:uiPriority w:val="1"/>
    <w:rPr>
      <w:sz w:val="18"/>
      <w:szCs w:val="18"/>
    </w:rPr>
  </w:style>
  <w:style w:type="paragraph" w:styleId="6">
    <w:name w:val="Balloon Text"/>
    <w:basedOn w:val="1"/>
    <w:link w:val="17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footer"/>
    <w:basedOn w:val="1"/>
    <w:link w:val="16"/>
    <w:unhideWhenUsed/>
    <w:uiPriority w:val="99"/>
    <w:pPr>
      <w:tabs>
        <w:tab w:val="center" w:pos="4513"/>
        <w:tab w:val="right" w:pos="9026"/>
      </w:tabs>
    </w:pPr>
  </w:style>
  <w:style w:type="paragraph" w:styleId="8">
    <w:name w:val="header"/>
    <w:basedOn w:val="1"/>
    <w:link w:val="15"/>
    <w:unhideWhenUsed/>
    <w:uiPriority w:val="99"/>
    <w:pPr>
      <w:tabs>
        <w:tab w:val="center" w:pos="4513"/>
        <w:tab w:val="right" w:pos="9026"/>
      </w:tabs>
    </w:pPr>
  </w:style>
  <w:style w:type="character" w:styleId="11">
    <w:name w:val="Emphasis"/>
    <w:basedOn w:val="10"/>
    <w:qFormat/>
    <w:uiPriority w:val="20"/>
    <w:rPr>
      <w:i/>
    </w:rPr>
  </w:style>
  <w:style w:type="character" w:styleId="12">
    <w:name w:val="Hyperlink"/>
    <w:basedOn w:val="10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 Paragraph"/>
    <w:basedOn w:val="1"/>
    <w:qFormat/>
    <w:uiPriority w:val="1"/>
    <w:pPr>
      <w:spacing w:before="90" w:line="200" w:lineRule="exact"/>
      <w:ind w:left="383" w:hanging="283"/>
      <w:jc w:val="both"/>
    </w:pPr>
    <w:rPr>
      <w:rFonts w:ascii="Calibri" w:hAnsi="Calibri" w:eastAsia="Calibri" w:cs="Calibri"/>
    </w:rPr>
  </w:style>
  <w:style w:type="paragraph" w:customStyle="1" w:styleId="14">
    <w:name w:val="Table Paragraph"/>
    <w:basedOn w:val="1"/>
    <w:qFormat/>
    <w:uiPriority w:val="1"/>
  </w:style>
  <w:style w:type="character" w:customStyle="1" w:styleId="15">
    <w:name w:val="Header Char"/>
    <w:basedOn w:val="10"/>
    <w:link w:val="8"/>
    <w:uiPriority w:val="99"/>
    <w:rPr>
      <w:rFonts w:ascii="Tw Cen MT" w:hAnsi="Tw Cen MT" w:eastAsia="Tw Cen MT" w:cs="Tw Cen MT"/>
    </w:rPr>
  </w:style>
  <w:style w:type="character" w:customStyle="1" w:styleId="16">
    <w:name w:val="Footer Char"/>
    <w:basedOn w:val="10"/>
    <w:link w:val="7"/>
    <w:uiPriority w:val="99"/>
    <w:rPr>
      <w:rFonts w:ascii="Tw Cen MT" w:hAnsi="Tw Cen MT" w:eastAsia="Tw Cen MT" w:cs="Tw Cen MT"/>
    </w:rPr>
  </w:style>
  <w:style w:type="character" w:customStyle="1" w:styleId="17">
    <w:name w:val="Balloon Text Char"/>
    <w:basedOn w:val="10"/>
    <w:link w:val="6"/>
    <w:semiHidden/>
    <w:uiPriority w:val="99"/>
    <w:rPr>
      <w:rFonts w:ascii="Tahoma" w:hAnsi="Tahoma" w:eastAsia="Tw Cen MT" w:cs="Tahoma"/>
      <w:sz w:val="16"/>
      <w:szCs w:val="16"/>
    </w:rPr>
  </w:style>
  <w:style w:type="character" w:customStyle="1" w:styleId="18">
    <w:name w:val="Body Text Char"/>
    <w:basedOn w:val="10"/>
    <w:link w:val="5"/>
    <w:uiPriority w:val="1"/>
    <w:rPr>
      <w:rFonts w:ascii="Tw Cen MT" w:hAnsi="Tw Cen MT" w:eastAsia="Tw Cen MT" w:cs="Tw Cen MT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548</Words>
  <Characters>3124</Characters>
  <Lines>26</Lines>
  <Paragraphs>7</Paragraphs>
  <TotalTime>12</TotalTime>
  <ScaleCrop>false</ScaleCrop>
  <LinksUpToDate>false</LinksUpToDate>
  <CharactersWithSpaces>3665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2016-08-31T13:10:00Z</dcterms:created>
  <dc:creator>mehaboobi shaik</dc:creator>
  <cp:lastModifiedBy>曦日天晴</cp:lastModifiedBy>
  <dcterms:modified xsi:type="dcterms:W3CDTF">2021-05-19T13:34:36Z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KSOProductBuildVer">
    <vt:lpwstr>2052-11.1.0.10495</vt:lpwstr>
  </property>
  <property fmtid="{D5CDD505-2E9C-101B-9397-08002B2CF9AE}" pid="6" name="ICV">
    <vt:lpwstr>4512F9BE3658448F9985730643886BDC</vt:lpwstr>
  </property>
</Properties>
</file>