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2EEF" w:rsidRPr="00B20BD8" w:rsidRDefault="00A41FAB" w:rsidP="00C22EEF">
      <w:pPr>
        <w:rPr>
          <w:rFonts w:ascii="Arial" w:hAnsi="Arial" w:cs="Arial"/>
          <w:sz w:val="24"/>
          <w:szCs w:val="24"/>
        </w:rPr>
      </w:pPr>
      <w:bookmarkStart w:id="0" w:name="_GoBack"/>
      <w:r>
        <w:rPr>
          <w:rFonts w:ascii="Arial" w:hAnsi="Arial" w:cs="Arial"/>
          <w:sz w:val="24"/>
          <w:szCs w:val="24"/>
        </w:rPr>
        <w:t xml:space="preserve">Understanding small animal clinical intervention with </w:t>
      </w:r>
      <w:proofErr w:type="spellStart"/>
      <w:r>
        <w:rPr>
          <w:rFonts w:ascii="Arial" w:hAnsi="Arial" w:cs="Arial"/>
          <w:sz w:val="24"/>
          <w:szCs w:val="24"/>
        </w:rPr>
        <w:t>cannabidio</w:t>
      </w:r>
      <w:bookmarkEnd w:id="0"/>
      <w:r>
        <w:rPr>
          <w:rFonts w:ascii="Arial" w:hAnsi="Arial" w:cs="Arial"/>
          <w:sz w:val="24"/>
          <w:szCs w:val="24"/>
        </w:rPr>
        <w:t>l</w:t>
      </w:r>
      <w:proofErr w:type="spellEnd"/>
      <w:r w:rsidR="00C22EEF" w:rsidRPr="00B20BD8">
        <w:rPr>
          <w:rFonts w:ascii="Arial" w:hAnsi="Arial" w:cs="Arial"/>
          <w:sz w:val="24"/>
          <w:szCs w:val="24"/>
        </w:rPr>
        <w:t xml:space="preserve">. </w:t>
      </w:r>
    </w:p>
    <w:p w:rsidR="00B7170C" w:rsidRPr="00B20BD8" w:rsidRDefault="00C22EEF" w:rsidP="005973B9">
      <w:pPr>
        <w:pStyle w:val="BodyText"/>
        <w:spacing w:before="73" w:line="198" w:lineRule="exact"/>
        <w:ind w:left="100" w:right="5987"/>
        <w:rPr>
          <w:rFonts w:ascii="Arial" w:hAnsi="Arial" w:cs="Arial"/>
        </w:rPr>
      </w:pPr>
      <w:r w:rsidRPr="00B20BD8">
        <w:rPr>
          <w:rFonts w:ascii="Arial" w:hAnsi="Arial" w:cs="Arial"/>
        </w:rPr>
        <w:t>Dr. Lara Sypniewski, DVM, DABVP, College of Veterinary Medicine, Oklahoma State University, USA</w:t>
      </w:r>
    </w:p>
    <w:p w:rsidR="00AE3E37" w:rsidRPr="00B20BD8" w:rsidRDefault="00AE3E37">
      <w:pPr>
        <w:pStyle w:val="BodyText"/>
        <w:spacing w:before="3"/>
        <w:rPr>
          <w:rFonts w:ascii="Arial" w:hAnsi="Arial" w:cs="Arial"/>
          <w:sz w:val="21"/>
        </w:rPr>
      </w:pPr>
    </w:p>
    <w:p w:rsidR="00AE3E37" w:rsidRPr="00B20BD8" w:rsidRDefault="00AE3E37">
      <w:pPr>
        <w:rPr>
          <w:rFonts w:ascii="Arial" w:hAnsi="Arial" w:cs="Arial"/>
          <w:sz w:val="21"/>
        </w:rPr>
        <w:sectPr w:rsidR="00AE3E37" w:rsidRPr="00B20BD8">
          <w:headerReference w:type="default" r:id="rId7"/>
          <w:footerReference w:type="default" r:id="rId8"/>
          <w:type w:val="continuous"/>
          <w:pgSz w:w="11910" w:h="16840"/>
          <w:pgMar w:top="1740" w:right="600" w:bottom="840" w:left="620" w:header="541" w:footer="642" w:gutter="0"/>
          <w:cols w:space="720"/>
        </w:sectPr>
      </w:pPr>
    </w:p>
    <w:p w:rsidR="00AE3E37" w:rsidRPr="00B20BD8" w:rsidRDefault="00A9710C">
      <w:pPr>
        <w:pStyle w:val="Heading3"/>
        <w:spacing w:before="147"/>
        <w:jc w:val="both"/>
      </w:pPr>
      <w:r w:rsidRPr="00B20BD8">
        <w:rPr>
          <w:color w:val="BF5A14"/>
        </w:rPr>
        <w:t>Abstract</w:t>
      </w:r>
      <w:r w:rsidR="00404E5B" w:rsidRPr="00B20BD8">
        <w:rPr>
          <w:color w:val="BF5A14"/>
        </w:rPr>
        <w:t xml:space="preserve"> (300 word limit)</w:t>
      </w:r>
    </w:p>
    <w:p w:rsidR="00C22EEF" w:rsidRPr="00B20BD8" w:rsidRDefault="002346E7" w:rsidP="00A41FAB">
      <w:pPr>
        <w:rPr>
          <w:rFonts w:ascii="Arial" w:hAnsi="Arial" w:cs="Arial"/>
          <w:sz w:val="18"/>
          <w:szCs w:val="18"/>
        </w:rPr>
      </w:pPr>
      <w:r>
        <w:rPr>
          <w:rFonts w:ascii="Arial" w:hAnsi="Arial" w:cs="Arial"/>
          <w:sz w:val="18"/>
          <w:szCs w:val="18"/>
        </w:rPr>
        <w:t>M</w:t>
      </w:r>
      <w:r w:rsidR="00A41FAB" w:rsidRPr="00A41FAB">
        <w:rPr>
          <w:rFonts w:ascii="Arial" w:hAnsi="Arial" w:cs="Arial"/>
          <w:sz w:val="18"/>
          <w:szCs w:val="18"/>
        </w:rPr>
        <w:t>any of our pet owners desire an all-natural, non-drug alternative for their pet</w:t>
      </w:r>
      <w:r w:rsidR="00A41FAB">
        <w:rPr>
          <w:rFonts w:ascii="Arial" w:hAnsi="Arial" w:cs="Arial"/>
          <w:sz w:val="18"/>
          <w:szCs w:val="18"/>
        </w:rPr>
        <w:t>’s ailments</w:t>
      </w:r>
      <w:r>
        <w:rPr>
          <w:rFonts w:ascii="Arial" w:hAnsi="Arial" w:cs="Arial"/>
          <w:sz w:val="18"/>
          <w:szCs w:val="18"/>
        </w:rPr>
        <w:t xml:space="preserve">. As such, </w:t>
      </w:r>
      <w:r w:rsidR="00A41FAB">
        <w:rPr>
          <w:rFonts w:ascii="Arial" w:hAnsi="Arial" w:cs="Arial"/>
          <w:sz w:val="18"/>
          <w:szCs w:val="18"/>
        </w:rPr>
        <w:t xml:space="preserve">many seek counsel from their veterinarian for guidance on the use of </w:t>
      </w:r>
      <w:proofErr w:type="spellStart"/>
      <w:r w:rsidR="00A41FAB">
        <w:rPr>
          <w:rFonts w:ascii="Arial" w:hAnsi="Arial" w:cs="Arial"/>
          <w:sz w:val="18"/>
          <w:szCs w:val="18"/>
        </w:rPr>
        <w:t>cannabidiol</w:t>
      </w:r>
      <w:proofErr w:type="spellEnd"/>
      <w:r w:rsidR="00A41FAB">
        <w:rPr>
          <w:rFonts w:ascii="Arial" w:hAnsi="Arial" w:cs="Arial"/>
          <w:sz w:val="18"/>
          <w:szCs w:val="18"/>
        </w:rPr>
        <w:t xml:space="preserve"> (CBD) to treat a plethora of conditions, including pain, anxiety and seizures.  Unfortunately, for the practicing veterinarian, ac</w:t>
      </w:r>
      <w:r w:rsidR="00A41FAB" w:rsidRPr="00A41FAB">
        <w:rPr>
          <w:rFonts w:ascii="Arial" w:hAnsi="Arial" w:cs="Arial"/>
          <w:sz w:val="18"/>
          <w:szCs w:val="18"/>
        </w:rPr>
        <w:t xml:space="preserve">cess </w:t>
      </w:r>
      <w:r w:rsidR="0011559C">
        <w:rPr>
          <w:rFonts w:ascii="Arial" w:hAnsi="Arial" w:cs="Arial"/>
          <w:sz w:val="18"/>
          <w:szCs w:val="18"/>
        </w:rPr>
        <w:t xml:space="preserve">to </w:t>
      </w:r>
      <w:r w:rsidR="00A41FAB" w:rsidRPr="00A41FAB">
        <w:rPr>
          <w:rFonts w:ascii="Arial" w:hAnsi="Arial" w:cs="Arial"/>
          <w:sz w:val="18"/>
          <w:szCs w:val="18"/>
        </w:rPr>
        <w:t xml:space="preserve">non-biased evidence </w:t>
      </w:r>
      <w:r w:rsidR="00A41FAB">
        <w:rPr>
          <w:rFonts w:ascii="Arial" w:hAnsi="Arial" w:cs="Arial"/>
          <w:sz w:val="18"/>
          <w:szCs w:val="18"/>
        </w:rPr>
        <w:t>is difficult to find.</w:t>
      </w:r>
      <w:r w:rsidR="0011559C">
        <w:rPr>
          <w:rFonts w:ascii="Arial" w:hAnsi="Arial" w:cs="Arial"/>
          <w:sz w:val="18"/>
          <w:szCs w:val="18"/>
        </w:rPr>
        <w:t xml:space="preserve"> In addition, m</w:t>
      </w:r>
      <w:r w:rsidR="00A41FAB">
        <w:rPr>
          <w:rFonts w:ascii="Arial" w:hAnsi="Arial" w:cs="Arial"/>
          <w:sz w:val="18"/>
          <w:szCs w:val="18"/>
        </w:rPr>
        <w:t xml:space="preserve">any veterinarians lack an understanding of </w:t>
      </w:r>
      <w:r w:rsidR="0011559C">
        <w:rPr>
          <w:rFonts w:ascii="Arial" w:hAnsi="Arial" w:cs="Arial"/>
          <w:sz w:val="18"/>
          <w:szCs w:val="18"/>
        </w:rPr>
        <w:t xml:space="preserve">the </w:t>
      </w:r>
      <w:r w:rsidR="00A41FAB" w:rsidRPr="00A41FAB">
        <w:rPr>
          <w:rFonts w:ascii="Arial" w:hAnsi="Arial" w:cs="Arial"/>
          <w:sz w:val="18"/>
          <w:szCs w:val="18"/>
        </w:rPr>
        <w:t>pharmacology, therapeutic potential and possible risks</w:t>
      </w:r>
      <w:r w:rsidR="00A41FAB">
        <w:rPr>
          <w:rFonts w:ascii="Arial" w:hAnsi="Arial" w:cs="Arial"/>
          <w:sz w:val="18"/>
          <w:szCs w:val="18"/>
        </w:rPr>
        <w:t xml:space="preserve"> associated with CBD use in companion animals.</w:t>
      </w:r>
      <w:r w:rsidR="0011559C">
        <w:rPr>
          <w:rFonts w:ascii="Arial" w:hAnsi="Arial" w:cs="Arial"/>
          <w:sz w:val="18"/>
          <w:szCs w:val="18"/>
        </w:rPr>
        <w:t xml:space="preserve"> </w:t>
      </w:r>
      <w:r w:rsidR="00A41FAB">
        <w:rPr>
          <w:rFonts w:ascii="Arial" w:hAnsi="Arial" w:cs="Arial"/>
          <w:sz w:val="18"/>
          <w:szCs w:val="18"/>
        </w:rPr>
        <w:t xml:space="preserve">This lecture will </w:t>
      </w:r>
      <w:r w:rsidR="0011559C">
        <w:rPr>
          <w:rFonts w:ascii="Arial" w:hAnsi="Arial" w:cs="Arial"/>
          <w:sz w:val="18"/>
          <w:szCs w:val="18"/>
        </w:rPr>
        <w:t>discuss</w:t>
      </w:r>
      <w:r w:rsidR="00A41FAB">
        <w:rPr>
          <w:rFonts w:ascii="Arial" w:hAnsi="Arial" w:cs="Arial"/>
          <w:sz w:val="18"/>
          <w:szCs w:val="18"/>
        </w:rPr>
        <w:t xml:space="preserve"> the </w:t>
      </w:r>
      <w:r w:rsidR="0011559C">
        <w:rPr>
          <w:rFonts w:ascii="Arial" w:hAnsi="Arial" w:cs="Arial"/>
          <w:sz w:val="18"/>
          <w:szCs w:val="18"/>
        </w:rPr>
        <w:t xml:space="preserve">endocannabinoid system to </w:t>
      </w:r>
      <w:r w:rsidR="001C7569">
        <w:rPr>
          <w:rFonts w:ascii="Arial" w:hAnsi="Arial" w:cs="Arial"/>
          <w:sz w:val="18"/>
          <w:szCs w:val="18"/>
        </w:rPr>
        <w:t xml:space="preserve">provide an </w:t>
      </w:r>
      <w:r w:rsidR="0011559C">
        <w:rPr>
          <w:rFonts w:ascii="Arial" w:hAnsi="Arial" w:cs="Arial"/>
          <w:sz w:val="18"/>
          <w:szCs w:val="18"/>
        </w:rPr>
        <w:t xml:space="preserve">understanding of how this </w:t>
      </w:r>
      <w:r w:rsidR="0011559C" w:rsidRPr="0011559C">
        <w:rPr>
          <w:rFonts w:ascii="Arial" w:hAnsi="Arial" w:cs="Arial"/>
          <w:sz w:val="18"/>
          <w:szCs w:val="18"/>
        </w:rPr>
        <w:t>physiologic system works as a broad-spectrum modulator of basic homeostatic function</w:t>
      </w:r>
      <w:r w:rsidR="0011559C">
        <w:rPr>
          <w:rFonts w:ascii="Arial" w:hAnsi="Arial" w:cs="Arial"/>
          <w:sz w:val="18"/>
          <w:szCs w:val="18"/>
        </w:rPr>
        <w:t xml:space="preserve">. </w:t>
      </w:r>
      <w:r>
        <w:rPr>
          <w:rFonts w:ascii="Arial" w:hAnsi="Arial" w:cs="Arial"/>
          <w:sz w:val="18"/>
          <w:szCs w:val="18"/>
        </w:rPr>
        <w:t xml:space="preserve">Veterinarians will </w:t>
      </w:r>
      <w:r w:rsidR="001C7569">
        <w:rPr>
          <w:rFonts w:ascii="Arial" w:hAnsi="Arial" w:cs="Arial"/>
          <w:sz w:val="18"/>
          <w:szCs w:val="18"/>
        </w:rPr>
        <w:t>be introduced to the e</w:t>
      </w:r>
      <w:r w:rsidR="0011559C" w:rsidRPr="0011559C">
        <w:rPr>
          <w:rFonts w:ascii="Arial" w:hAnsi="Arial" w:cs="Arial"/>
          <w:sz w:val="18"/>
          <w:szCs w:val="18"/>
        </w:rPr>
        <w:t xml:space="preserve">ndogenous cannabinoid ligands, </w:t>
      </w:r>
      <w:r>
        <w:rPr>
          <w:rFonts w:ascii="Arial" w:hAnsi="Arial" w:cs="Arial"/>
          <w:sz w:val="18"/>
          <w:szCs w:val="18"/>
        </w:rPr>
        <w:t>binding r</w:t>
      </w:r>
      <w:r w:rsidR="0011559C" w:rsidRPr="0011559C">
        <w:rPr>
          <w:rFonts w:ascii="Arial" w:hAnsi="Arial" w:cs="Arial"/>
          <w:sz w:val="18"/>
          <w:szCs w:val="18"/>
        </w:rPr>
        <w:t>eceptor</w:t>
      </w:r>
      <w:r>
        <w:rPr>
          <w:rFonts w:ascii="Arial" w:hAnsi="Arial" w:cs="Arial"/>
          <w:sz w:val="18"/>
          <w:szCs w:val="18"/>
        </w:rPr>
        <w:t xml:space="preserve">s and relevant </w:t>
      </w:r>
      <w:r w:rsidR="0011559C" w:rsidRPr="0011559C">
        <w:rPr>
          <w:rFonts w:ascii="Arial" w:hAnsi="Arial" w:cs="Arial"/>
          <w:sz w:val="18"/>
          <w:szCs w:val="18"/>
        </w:rPr>
        <w:t>enzymes</w:t>
      </w:r>
      <w:r>
        <w:rPr>
          <w:rFonts w:ascii="Arial" w:hAnsi="Arial" w:cs="Arial"/>
          <w:sz w:val="18"/>
          <w:szCs w:val="18"/>
        </w:rPr>
        <w:t>. The pharmacologic impact of e</w:t>
      </w:r>
      <w:r w:rsidR="00A41FAB">
        <w:rPr>
          <w:rFonts w:ascii="Arial" w:hAnsi="Arial" w:cs="Arial"/>
          <w:sz w:val="18"/>
          <w:szCs w:val="18"/>
        </w:rPr>
        <w:t>xogenous</w:t>
      </w:r>
      <w:r>
        <w:rPr>
          <w:rFonts w:ascii="Arial" w:hAnsi="Arial" w:cs="Arial"/>
          <w:sz w:val="18"/>
          <w:szCs w:val="18"/>
        </w:rPr>
        <w:t xml:space="preserve"> CBD </w:t>
      </w:r>
      <w:r w:rsidR="0011559C">
        <w:rPr>
          <w:rFonts w:ascii="Arial" w:hAnsi="Arial" w:cs="Arial"/>
          <w:sz w:val="18"/>
          <w:szCs w:val="18"/>
        </w:rPr>
        <w:t xml:space="preserve">including the pharmacokinetics and side effects will be </w:t>
      </w:r>
      <w:r>
        <w:rPr>
          <w:rFonts w:ascii="Arial" w:hAnsi="Arial" w:cs="Arial"/>
          <w:sz w:val="18"/>
          <w:szCs w:val="18"/>
        </w:rPr>
        <w:t xml:space="preserve">presented. </w:t>
      </w:r>
      <w:r w:rsidR="0011559C">
        <w:rPr>
          <w:rFonts w:ascii="Arial" w:hAnsi="Arial" w:cs="Arial"/>
          <w:sz w:val="18"/>
          <w:szCs w:val="18"/>
        </w:rPr>
        <w:t xml:space="preserve">Recent veterinary literature will be introduced to </w:t>
      </w:r>
      <w:r>
        <w:rPr>
          <w:rFonts w:ascii="Arial" w:hAnsi="Arial" w:cs="Arial"/>
          <w:sz w:val="18"/>
          <w:szCs w:val="18"/>
        </w:rPr>
        <w:t>provide the opportunity for veterinary practitioners to appraise current research in CBD, aiding in their understanding of the products often used by the</w:t>
      </w:r>
      <w:r w:rsidR="001C7569">
        <w:rPr>
          <w:rFonts w:ascii="Arial" w:hAnsi="Arial" w:cs="Arial"/>
          <w:sz w:val="18"/>
          <w:szCs w:val="18"/>
        </w:rPr>
        <w:t xml:space="preserve">ir current patient population. Access to this foundational knowledge of the endocannabinoid system and the potential effects of exogenous CBD will provide practitioners with the understanding they need to counsel their pet owners effectively.  </w:t>
      </w:r>
    </w:p>
    <w:p w:rsidR="005973B9" w:rsidRPr="00B20BD8" w:rsidRDefault="00A9710C" w:rsidP="00C22EEF">
      <w:pPr>
        <w:pStyle w:val="Heading3"/>
        <w:spacing w:before="74"/>
        <w:rPr>
          <w:b w:val="0"/>
        </w:rPr>
      </w:pPr>
      <w:r w:rsidRPr="00B20BD8">
        <w:rPr>
          <w:b w:val="0"/>
        </w:rPr>
        <w:br w:type="column"/>
      </w:r>
      <w:r w:rsidR="005973B9" w:rsidRPr="00B20BD8">
        <w:rPr>
          <w:color w:val="BF5A14"/>
        </w:rPr>
        <w:t>Recent Publications (minimum 5)</w:t>
      </w:r>
    </w:p>
    <w:p w:rsidR="001C7569" w:rsidRDefault="001C7569" w:rsidP="001C7569">
      <w:pPr>
        <w:pStyle w:val="ListParagraph"/>
        <w:numPr>
          <w:ilvl w:val="0"/>
          <w:numId w:val="4"/>
        </w:numPr>
        <w:tabs>
          <w:tab w:val="left" w:pos="384"/>
        </w:tabs>
        <w:ind w:right="117"/>
        <w:rPr>
          <w:rFonts w:ascii="Arial" w:hAnsi="Arial" w:cs="Arial"/>
          <w:sz w:val="16"/>
        </w:rPr>
      </w:pPr>
      <w:proofErr w:type="spellStart"/>
      <w:r w:rsidRPr="001C7569">
        <w:rPr>
          <w:rFonts w:ascii="Arial" w:hAnsi="Arial" w:cs="Arial"/>
          <w:sz w:val="16"/>
        </w:rPr>
        <w:t>Hazekamp</w:t>
      </w:r>
      <w:proofErr w:type="spellEnd"/>
      <w:r w:rsidRPr="001C7569">
        <w:rPr>
          <w:rFonts w:ascii="Arial" w:hAnsi="Arial" w:cs="Arial"/>
          <w:sz w:val="16"/>
        </w:rPr>
        <w:t>, A., The Trouble with CBD Oil. Medical Cannabis and Cannabinoids, 2018. 1(1): p. 65-72.</w:t>
      </w:r>
    </w:p>
    <w:p w:rsidR="001C7569" w:rsidRDefault="001C7569" w:rsidP="001C7569">
      <w:pPr>
        <w:pStyle w:val="ListParagraph"/>
        <w:numPr>
          <w:ilvl w:val="0"/>
          <w:numId w:val="4"/>
        </w:numPr>
        <w:tabs>
          <w:tab w:val="left" w:pos="384"/>
        </w:tabs>
        <w:ind w:right="117"/>
        <w:rPr>
          <w:rFonts w:ascii="Arial" w:hAnsi="Arial" w:cs="Arial"/>
          <w:sz w:val="16"/>
        </w:rPr>
      </w:pPr>
      <w:proofErr w:type="spellStart"/>
      <w:r w:rsidRPr="001C7569">
        <w:rPr>
          <w:rFonts w:ascii="Arial" w:hAnsi="Arial" w:cs="Arial"/>
          <w:sz w:val="16"/>
        </w:rPr>
        <w:t>Greb</w:t>
      </w:r>
      <w:proofErr w:type="spellEnd"/>
      <w:r w:rsidRPr="001C7569">
        <w:rPr>
          <w:rFonts w:ascii="Arial" w:hAnsi="Arial" w:cs="Arial"/>
          <w:sz w:val="16"/>
        </w:rPr>
        <w:t xml:space="preserve">, A. and B. </w:t>
      </w:r>
      <w:proofErr w:type="spellStart"/>
      <w:r w:rsidRPr="001C7569">
        <w:rPr>
          <w:rFonts w:ascii="Arial" w:hAnsi="Arial" w:cs="Arial"/>
          <w:sz w:val="16"/>
        </w:rPr>
        <w:t>Puschner</w:t>
      </w:r>
      <w:proofErr w:type="spellEnd"/>
      <w:r w:rsidRPr="001C7569">
        <w:rPr>
          <w:rFonts w:ascii="Arial" w:hAnsi="Arial" w:cs="Arial"/>
          <w:sz w:val="16"/>
        </w:rPr>
        <w:t>, Cannabinoid treats as adjunctive therapy for pets: gaps in our knowledge. Toxicology Communications, 2018. 2(1): p. 10-14.</w:t>
      </w:r>
    </w:p>
    <w:p w:rsidR="001C7569" w:rsidRPr="001C7569" w:rsidRDefault="001C7569" w:rsidP="001C7569">
      <w:pPr>
        <w:pStyle w:val="ListParagraph"/>
        <w:numPr>
          <w:ilvl w:val="0"/>
          <w:numId w:val="4"/>
        </w:numPr>
        <w:tabs>
          <w:tab w:val="left" w:pos="384"/>
        </w:tabs>
        <w:ind w:right="117"/>
        <w:rPr>
          <w:rFonts w:ascii="Arial" w:hAnsi="Arial" w:cs="Arial"/>
          <w:sz w:val="16"/>
        </w:rPr>
      </w:pPr>
      <w:r w:rsidRPr="001C7569">
        <w:rPr>
          <w:rFonts w:ascii="Arial" w:hAnsi="Arial" w:cs="Arial"/>
          <w:sz w:val="16"/>
        </w:rPr>
        <w:t xml:space="preserve">Matthew E. Miller, K.T., </w:t>
      </w:r>
      <w:proofErr w:type="spellStart"/>
      <w:r w:rsidRPr="001C7569">
        <w:rPr>
          <w:rFonts w:ascii="Arial" w:hAnsi="Arial" w:cs="Arial"/>
          <w:sz w:val="16"/>
        </w:rPr>
        <w:t>JeyW</w:t>
      </w:r>
      <w:proofErr w:type="spellEnd"/>
      <w:r w:rsidRPr="001C7569">
        <w:rPr>
          <w:rFonts w:ascii="Arial" w:hAnsi="Arial" w:cs="Arial"/>
          <w:sz w:val="16"/>
        </w:rPr>
        <w:t xml:space="preserve">. Koehler, Dawn M. </w:t>
      </w:r>
      <w:proofErr w:type="spellStart"/>
      <w:r w:rsidRPr="001C7569">
        <w:rPr>
          <w:rFonts w:ascii="Arial" w:hAnsi="Arial" w:cs="Arial"/>
          <w:sz w:val="16"/>
        </w:rPr>
        <w:t>Boothe</w:t>
      </w:r>
      <w:proofErr w:type="spellEnd"/>
      <w:r w:rsidRPr="001C7569">
        <w:rPr>
          <w:rFonts w:ascii="Arial" w:hAnsi="Arial" w:cs="Arial"/>
          <w:sz w:val="16"/>
        </w:rPr>
        <w:t>, Localization and quantification of cannabinoid receptors in canine tissue, in Proceedings of the American College of Veterinary Internal Medicine Forum. 208.</w:t>
      </w:r>
    </w:p>
    <w:p w:rsidR="001C7569" w:rsidRDefault="001C7569" w:rsidP="001C7569">
      <w:pPr>
        <w:pStyle w:val="ListParagraph"/>
        <w:numPr>
          <w:ilvl w:val="0"/>
          <w:numId w:val="4"/>
        </w:numPr>
        <w:tabs>
          <w:tab w:val="left" w:pos="384"/>
        </w:tabs>
        <w:ind w:right="117"/>
        <w:rPr>
          <w:rFonts w:ascii="Arial" w:hAnsi="Arial" w:cs="Arial"/>
          <w:sz w:val="16"/>
        </w:rPr>
      </w:pPr>
      <w:proofErr w:type="spellStart"/>
      <w:r w:rsidRPr="001C7569">
        <w:rPr>
          <w:rFonts w:ascii="Arial" w:hAnsi="Arial" w:cs="Arial"/>
          <w:sz w:val="16"/>
        </w:rPr>
        <w:t>Wakshlag</w:t>
      </w:r>
      <w:proofErr w:type="spellEnd"/>
      <w:r w:rsidRPr="001C7569">
        <w:rPr>
          <w:rFonts w:ascii="Arial" w:hAnsi="Arial" w:cs="Arial"/>
          <w:sz w:val="16"/>
        </w:rPr>
        <w:t xml:space="preserve">, J.J., et al., Pharmacokinetics, safety, and clinical efficacy of </w:t>
      </w:r>
      <w:proofErr w:type="spellStart"/>
      <w:r w:rsidRPr="001C7569">
        <w:rPr>
          <w:rFonts w:ascii="Arial" w:hAnsi="Arial" w:cs="Arial"/>
          <w:sz w:val="16"/>
        </w:rPr>
        <w:t>cannabidiol</w:t>
      </w:r>
      <w:proofErr w:type="spellEnd"/>
      <w:r w:rsidRPr="001C7569">
        <w:rPr>
          <w:rFonts w:ascii="Arial" w:hAnsi="Arial" w:cs="Arial"/>
          <w:sz w:val="16"/>
        </w:rPr>
        <w:t xml:space="preserve"> treatment in osteoarthritic dogs. Frontiers in veterinary science, 2018. 5: p. 165.</w:t>
      </w:r>
    </w:p>
    <w:p w:rsidR="001C7569" w:rsidRDefault="001C7569" w:rsidP="001C7569">
      <w:pPr>
        <w:pStyle w:val="ListParagraph"/>
        <w:numPr>
          <w:ilvl w:val="0"/>
          <w:numId w:val="4"/>
        </w:numPr>
        <w:tabs>
          <w:tab w:val="left" w:pos="384"/>
        </w:tabs>
        <w:ind w:right="117"/>
        <w:rPr>
          <w:rFonts w:ascii="Arial" w:hAnsi="Arial" w:cs="Arial"/>
          <w:sz w:val="16"/>
        </w:rPr>
      </w:pPr>
      <w:proofErr w:type="spellStart"/>
      <w:r w:rsidRPr="001C7569">
        <w:rPr>
          <w:rFonts w:ascii="Arial" w:hAnsi="Arial" w:cs="Arial"/>
          <w:sz w:val="16"/>
        </w:rPr>
        <w:t>Deabold</w:t>
      </w:r>
      <w:proofErr w:type="spellEnd"/>
      <w:r w:rsidRPr="001C7569">
        <w:rPr>
          <w:rFonts w:ascii="Arial" w:hAnsi="Arial" w:cs="Arial"/>
          <w:sz w:val="16"/>
        </w:rPr>
        <w:t>, K.A., et al., Single-Dose Pharmacokinetics and Preliminary Safety Assessment with Use of CBD-Rich Hemp Nutraceutical in Healthy Dogs and Cats. Animals, 2019. 9(10): p. 832.</w:t>
      </w:r>
    </w:p>
    <w:p w:rsidR="001C7569" w:rsidRDefault="001C7569" w:rsidP="001C7569">
      <w:pPr>
        <w:pStyle w:val="ListParagraph"/>
        <w:numPr>
          <w:ilvl w:val="0"/>
          <w:numId w:val="4"/>
        </w:numPr>
        <w:tabs>
          <w:tab w:val="left" w:pos="384"/>
        </w:tabs>
        <w:ind w:right="117"/>
        <w:rPr>
          <w:rFonts w:ascii="Arial" w:hAnsi="Arial" w:cs="Arial"/>
          <w:sz w:val="16"/>
        </w:rPr>
      </w:pPr>
      <w:r w:rsidRPr="001C7569">
        <w:rPr>
          <w:rFonts w:ascii="Arial" w:hAnsi="Arial" w:cs="Arial"/>
          <w:sz w:val="16"/>
        </w:rPr>
        <w:t xml:space="preserve">McGrath, S., et al., Randomized blinded controlled clinical trial to assess the effect of oral </w:t>
      </w:r>
      <w:proofErr w:type="spellStart"/>
      <w:r w:rsidRPr="001C7569">
        <w:rPr>
          <w:rFonts w:ascii="Arial" w:hAnsi="Arial" w:cs="Arial"/>
          <w:sz w:val="16"/>
        </w:rPr>
        <w:t>cannabidiol</w:t>
      </w:r>
      <w:proofErr w:type="spellEnd"/>
      <w:r w:rsidRPr="001C7569">
        <w:rPr>
          <w:rFonts w:ascii="Arial" w:hAnsi="Arial" w:cs="Arial"/>
          <w:sz w:val="16"/>
        </w:rPr>
        <w:t xml:space="preserve"> administration in addition to conventional antiepileptic treatment on seizure frequency in dogs with intractable idiopathic epilepsy. Journal of the American Veterinary Medical Association, 2019. 254(11): p. 1301-1308.</w:t>
      </w:r>
    </w:p>
    <w:p w:rsidR="00AE3E37" w:rsidRPr="0038446B" w:rsidRDefault="00AE3E37" w:rsidP="00C22EEF">
      <w:pPr>
        <w:tabs>
          <w:tab w:val="left" w:pos="384"/>
        </w:tabs>
        <w:ind w:right="117"/>
        <w:rPr>
          <w:rFonts w:ascii="Arial" w:hAnsi="Arial" w:cs="Arial"/>
          <w:sz w:val="20"/>
        </w:rPr>
      </w:pPr>
    </w:p>
    <w:p w:rsidR="00AE3E37" w:rsidRPr="00B20BD8" w:rsidRDefault="00AE3E37" w:rsidP="00C22EEF">
      <w:pPr>
        <w:spacing w:line="200" w:lineRule="exact"/>
        <w:jc w:val="both"/>
        <w:rPr>
          <w:rFonts w:ascii="Arial" w:hAnsi="Arial" w:cs="Arial"/>
        </w:rPr>
        <w:sectPr w:rsidR="00AE3E37" w:rsidRPr="00B20BD8">
          <w:type w:val="continuous"/>
          <w:pgSz w:w="11910" w:h="16840"/>
          <w:pgMar w:top="1740" w:right="600" w:bottom="840" w:left="620" w:header="720" w:footer="720" w:gutter="0"/>
          <w:cols w:num="2" w:space="720" w:equalWidth="0">
            <w:col w:w="5214" w:space="138"/>
            <w:col w:w="5338"/>
          </w:cols>
        </w:sectPr>
      </w:pPr>
    </w:p>
    <w:p w:rsidR="00AE3E37" w:rsidRPr="00B20BD8" w:rsidRDefault="00D62425">
      <w:pPr>
        <w:pStyle w:val="BodyText"/>
        <w:rPr>
          <w:rFonts w:ascii="Arial" w:hAnsi="Arial" w:cs="Arial"/>
          <w:b/>
          <w:sz w:val="20"/>
        </w:rPr>
      </w:pPr>
      <w:r w:rsidRPr="00B20BD8">
        <w:rPr>
          <w:rFonts w:ascii="Arial" w:hAnsi="Arial" w:cs="Arial"/>
          <w:sz w:val="20"/>
        </w:rPr>
        <w:t xml:space="preserve">                 </w:t>
      </w:r>
      <w:r w:rsidRPr="00B20BD8">
        <w:rPr>
          <w:rFonts w:ascii="Arial" w:hAnsi="Arial" w:cs="Arial"/>
          <w:b/>
          <w:sz w:val="20"/>
        </w:rPr>
        <w:t>Photograph</w:t>
      </w:r>
    </w:p>
    <w:p w:rsidR="00AE3E37" w:rsidRPr="00B20BD8" w:rsidRDefault="00292ED9">
      <w:pPr>
        <w:pStyle w:val="BodyText"/>
        <w:spacing w:line="40" w:lineRule="exact"/>
        <w:ind w:left="2202"/>
        <w:rPr>
          <w:rFonts w:ascii="Arial" w:hAnsi="Arial" w:cs="Arial"/>
          <w:sz w:val="4"/>
        </w:rPr>
      </w:pPr>
      <w:r w:rsidRPr="00B20BD8">
        <w:rPr>
          <w:rFonts w:ascii="Arial" w:hAnsi="Arial" w:cs="Arial"/>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BEEE2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B20BD8" w:rsidRDefault="008756E6" w:rsidP="00404E5B">
      <w:pPr>
        <w:spacing w:before="92"/>
        <w:ind w:right="4234"/>
        <w:rPr>
          <w:rFonts w:ascii="Arial" w:hAnsi="Arial" w:cs="Arial"/>
        </w:rPr>
      </w:pPr>
      <w:r w:rsidRPr="00B20BD8">
        <w:rPr>
          <w:rFonts w:ascii="Arial" w:hAnsi="Arial" w:cs="Arial"/>
          <w:noProof/>
        </w:rPr>
        <w:t xml:space="preserve">              </w:t>
      </w:r>
      <w:r w:rsidRPr="00B20BD8">
        <w:rPr>
          <w:rFonts w:ascii="Arial" w:hAnsi="Arial" w:cs="Arial"/>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B20BD8">
        <w:rPr>
          <w:rFonts w:ascii="Arial" w:hAnsi="Arial" w:cs="Arial"/>
          <w:color w:val="BF5A14"/>
        </w:rPr>
        <w:t>Biography</w:t>
      </w:r>
      <w:r w:rsidR="00404E5B" w:rsidRPr="00B20BD8">
        <w:rPr>
          <w:rFonts w:ascii="Arial" w:hAnsi="Arial" w:cs="Arial"/>
          <w:color w:val="BF5A14"/>
        </w:rPr>
        <w:t xml:space="preserve"> (150 word limit)</w:t>
      </w:r>
    </w:p>
    <w:p w:rsidR="00B20BD8" w:rsidRPr="00B20BD8" w:rsidRDefault="00B20BD8" w:rsidP="00B20BD8">
      <w:pPr>
        <w:rPr>
          <w:rFonts w:ascii="Calibri" w:eastAsiaTheme="minorHAnsi" w:hAnsi="Calibri" w:cs="Calibri"/>
          <w:color w:val="1F497D"/>
          <w:sz w:val="16"/>
        </w:rPr>
      </w:pPr>
      <w:r w:rsidRPr="00B20BD8">
        <w:rPr>
          <w:color w:val="1F497D"/>
          <w:sz w:val="16"/>
        </w:rPr>
        <w:t>Lara Sypniewski, DVM, DABVP, CVA, CCRP, is the Patricia Henthorne Clinical Professor in Small Animal Medicine in the Department of Veterinary Clinical Sciences at Oklahoma State University. Dr. Sypniewski is a trained acupuncturist and</w:t>
      </w:r>
      <w:r>
        <w:rPr>
          <w:color w:val="1F497D"/>
          <w:sz w:val="16"/>
        </w:rPr>
        <w:t xml:space="preserve"> provides preventative and primary care </w:t>
      </w:r>
      <w:r w:rsidRPr="00B20BD8">
        <w:rPr>
          <w:color w:val="1F497D"/>
          <w:sz w:val="16"/>
        </w:rPr>
        <w:t xml:space="preserve">in the hospital’s community practice service. She uses a balanced approach to encourage whole animal wellness throughout each stage of life. Her research interests focus on pain relief in small animals and the impact of nutrition on canine health.  </w:t>
      </w:r>
    </w:p>
    <w:p w:rsidR="00AE3E37" w:rsidRPr="00B20BD8" w:rsidRDefault="00A9710C">
      <w:pPr>
        <w:spacing w:before="62"/>
        <w:ind w:left="4217" w:right="4235"/>
        <w:jc w:val="center"/>
        <w:rPr>
          <w:rFonts w:ascii="Arial" w:hAnsi="Arial" w:cs="Arial"/>
          <w:sz w:val="14"/>
        </w:rPr>
      </w:pPr>
      <w:r w:rsidRPr="00B20BD8">
        <w:rPr>
          <w:rFonts w:ascii="Arial" w:hAnsi="Arial" w:cs="Arial"/>
          <w:sz w:val="14"/>
        </w:rPr>
        <w:t xml:space="preserve">Email: </w:t>
      </w:r>
      <w:hyperlink r:id="rId10" w:history="1">
        <w:r w:rsidR="00B20BD8" w:rsidRPr="00EF3034">
          <w:rPr>
            <w:rStyle w:val="Hyperlink"/>
            <w:rFonts w:ascii="Arial" w:hAnsi="Arial" w:cs="Arial"/>
            <w:sz w:val="14"/>
          </w:rPr>
          <w:t>lara.sypniewski@okstate.edu</w:t>
        </w:r>
      </w:hyperlink>
    </w:p>
    <w:p w:rsidR="00AE3E37" w:rsidRPr="00B20BD8" w:rsidRDefault="00292ED9" w:rsidP="0038446B">
      <w:pPr>
        <w:pStyle w:val="BodyText"/>
        <w:spacing w:before="2"/>
        <w:rPr>
          <w:rFonts w:ascii="Arial" w:hAnsi="Arial" w:cs="Arial"/>
          <w:sz w:val="20"/>
        </w:rPr>
      </w:pPr>
      <w:r w:rsidRPr="00B20BD8">
        <w:rPr>
          <w:rFonts w:ascii="Arial" w:hAnsi="Arial" w:cs="Arial"/>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2BB5B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0BD8" w:rsidRDefault="00AE3E37">
      <w:pPr>
        <w:pStyle w:val="BodyText"/>
        <w:spacing w:before="7"/>
        <w:rPr>
          <w:rFonts w:ascii="Arial" w:hAnsi="Arial" w:cs="Arial"/>
          <w:sz w:val="29"/>
        </w:rPr>
      </w:pPr>
    </w:p>
    <w:p w:rsidR="00AE3E37" w:rsidRPr="00B20BD8" w:rsidRDefault="00A9710C">
      <w:pPr>
        <w:spacing w:before="39"/>
        <w:ind w:left="100"/>
        <w:rPr>
          <w:rFonts w:ascii="Arial" w:hAnsi="Arial" w:cs="Arial"/>
          <w:b/>
          <w:sz w:val="20"/>
        </w:rPr>
      </w:pPr>
      <w:r w:rsidRPr="00B20BD8">
        <w:rPr>
          <w:rFonts w:ascii="Arial" w:hAnsi="Arial" w:cs="Arial"/>
          <w:b/>
          <w:sz w:val="20"/>
        </w:rPr>
        <w:t>Notes/Comments:</w:t>
      </w:r>
    </w:p>
    <w:p w:rsidR="00AE3E37" w:rsidRPr="00B20BD8" w:rsidRDefault="00AE3E37">
      <w:pPr>
        <w:rPr>
          <w:rFonts w:ascii="Arial" w:hAnsi="Arial" w:cs="Arial"/>
          <w:sz w:val="24"/>
        </w:rPr>
        <w:sectPr w:rsidR="00AE3E37" w:rsidRPr="00B20BD8">
          <w:type w:val="continuous"/>
          <w:pgSz w:w="11910" w:h="16840"/>
          <w:pgMar w:top="1740" w:right="600" w:bottom="840" w:left="620" w:header="720" w:footer="720" w:gutter="0"/>
          <w:cols w:space="720"/>
        </w:sectPr>
      </w:pPr>
    </w:p>
    <w:p w:rsidR="00AE3E37" w:rsidRPr="00B20BD8" w:rsidRDefault="00AE3E37">
      <w:pPr>
        <w:pStyle w:val="BodyText"/>
        <w:spacing w:before="3"/>
        <w:rPr>
          <w:rFonts w:ascii="Arial" w:hAnsi="Arial" w:cs="Arial"/>
          <w:sz w:val="26"/>
        </w:rPr>
      </w:pPr>
    </w:p>
    <w:sectPr w:rsidR="00AE3E37" w:rsidRPr="00B20BD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0012" w:rsidRDefault="00100012">
      <w:r>
        <w:separator/>
      </w:r>
    </w:p>
  </w:endnote>
  <w:endnote w:type="continuationSeparator" w:id="0">
    <w:p w:rsidR="00100012" w:rsidRDefault="00100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0012" w:rsidRDefault="00100012">
      <w:r>
        <w:separator/>
      </w:r>
    </w:p>
  </w:footnote>
  <w:footnote w:type="continuationSeparator" w:id="0">
    <w:p w:rsidR="00100012" w:rsidRDefault="001000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A263643"/>
    <w:multiLevelType w:val="hybridMultilevel"/>
    <w:tmpl w:val="CA9AF482"/>
    <w:lvl w:ilvl="0" w:tplc="0409000F">
      <w:start w:val="1"/>
      <w:numFmt w:val="decimal"/>
      <w:lvlText w:val="%1."/>
      <w:lvlJc w:val="left"/>
      <w:pPr>
        <w:ind w:left="460" w:hanging="360"/>
      </w:p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A4E8B"/>
    <w:rsid w:val="000E2911"/>
    <w:rsid w:val="00100012"/>
    <w:rsid w:val="0011559C"/>
    <w:rsid w:val="001263DF"/>
    <w:rsid w:val="001C7569"/>
    <w:rsid w:val="001E763C"/>
    <w:rsid w:val="00203681"/>
    <w:rsid w:val="002346E7"/>
    <w:rsid w:val="00292ED9"/>
    <w:rsid w:val="00314AFB"/>
    <w:rsid w:val="0038446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1463"/>
    <w:rsid w:val="00A07E82"/>
    <w:rsid w:val="00A41FAB"/>
    <w:rsid w:val="00A9710C"/>
    <w:rsid w:val="00AE3E37"/>
    <w:rsid w:val="00B20BD8"/>
    <w:rsid w:val="00B21A57"/>
    <w:rsid w:val="00B7170C"/>
    <w:rsid w:val="00C22EEF"/>
    <w:rsid w:val="00C33602"/>
    <w:rsid w:val="00CD6F55"/>
    <w:rsid w:val="00D62425"/>
    <w:rsid w:val="00D74108"/>
    <w:rsid w:val="00DE3104"/>
    <w:rsid w:val="00E3209A"/>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7C2813"/>
  <w15:docId w15:val="{51670728-7A2C-4FEC-A773-E82230051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3743776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97920817">
      <w:bodyDiv w:val="1"/>
      <w:marLeft w:val="0"/>
      <w:marRight w:val="0"/>
      <w:marTop w:val="0"/>
      <w:marBottom w:val="0"/>
      <w:divBdr>
        <w:top w:val="none" w:sz="0" w:space="0" w:color="auto"/>
        <w:left w:val="none" w:sz="0" w:space="0" w:color="auto"/>
        <w:bottom w:val="none" w:sz="0" w:space="0" w:color="auto"/>
        <w:right w:val="none" w:sz="0" w:space="0" w:color="auto"/>
      </w:divBdr>
    </w:div>
    <w:div w:id="21082350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lara.sypniewski@okstate.edu"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514</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Sypniewski, Lara</cp:lastModifiedBy>
  <cp:revision>2</cp:revision>
  <dcterms:created xsi:type="dcterms:W3CDTF">2020-08-12T17:33:00Z</dcterms:created>
  <dcterms:modified xsi:type="dcterms:W3CDTF">2020-08-12T17:33:00Z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