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1A7" w:rsidRDefault="00FA11A7" w:rsidP="005973B9">
      <w:pPr>
        <w:pStyle w:val="BodyText"/>
        <w:spacing w:before="73" w:line="198" w:lineRule="exact"/>
        <w:ind w:left="100" w:right="5987"/>
        <w:rPr>
          <w:rFonts w:ascii="Arial" w:hAnsi="Arial" w:cs="Arial"/>
          <w:sz w:val="24"/>
          <w:szCs w:val="24"/>
        </w:rPr>
      </w:pPr>
      <w:bookmarkStart w:id="0" w:name="_GoBack"/>
      <w:r>
        <w:rPr>
          <w:rFonts w:ascii="Arial" w:hAnsi="Arial" w:cs="Arial"/>
          <w:sz w:val="24"/>
          <w:szCs w:val="24"/>
        </w:rPr>
        <w:t xml:space="preserve">A </w:t>
      </w:r>
      <w:r w:rsidR="00E92B9E">
        <w:rPr>
          <w:rFonts w:ascii="Arial" w:hAnsi="Arial" w:cs="Arial"/>
          <w:sz w:val="24"/>
          <w:szCs w:val="24"/>
        </w:rPr>
        <w:t>Poly-Modal</w:t>
      </w:r>
      <w:r>
        <w:rPr>
          <w:rFonts w:ascii="Arial" w:hAnsi="Arial" w:cs="Arial"/>
          <w:sz w:val="24"/>
          <w:szCs w:val="24"/>
        </w:rPr>
        <w:t xml:space="preserve"> Appr</w:t>
      </w:r>
      <w:r w:rsidR="00E92B9E">
        <w:rPr>
          <w:rFonts w:ascii="Arial" w:hAnsi="Arial" w:cs="Arial"/>
          <w:sz w:val="24"/>
          <w:szCs w:val="24"/>
        </w:rPr>
        <w:t xml:space="preserve">oach to Seizure Control </w:t>
      </w:r>
      <w:proofErr w:type="gramStart"/>
      <w:r w:rsidR="00E92B9E">
        <w:rPr>
          <w:rFonts w:ascii="Arial" w:hAnsi="Arial" w:cs="Arial"/>
          <w:sz w:val="24"/>
          <w:szCs w:val="24"/>
        </w:rPr>
        <w:t>I</w:t>
      </w:r>
      <w:r w:rsidR="00EC79FF">
        <w:rPr>
          <w:rFonts w:ascii="Arial" w:hAnsi="Arial" w:cs="Arial"/>
          <w:sz w:val="24"/>
          <w:szCs w:val="24"/>
        </w:rPr>
        <w:t>n</w:t>
      </w:r>
      <w:proofErr w:type="gramEnd"/>
      <w:r w:rsidR="00EC79FF">
        <w:rPr>
          <w:rFonts w:ascii="Arial" w:hAnsi="Arial" w:cs="Arial"/>
          <w:sz w:val="24"/>
          <w:szCs w:val="24"/>
        </w:rPr>
        <w:t xml:space="preserve"> Small Animal Practice </w:t>
      </w:r>
    </w:p>
    <w:bookmarkEnd w:id="0"/>
    <w:p w:rsidR="00B7170C" w:rsidRPr="00B20BD8" w:rsidRDefault="00C22EEF" w:rsidP="005973B9">
      <w:pPr>
        <w:pStyle w:val="BodyText"/>
        <w:spacing w:before="73" w:line="198" w:lineRule="exact"/>
        <w:ind w:left="100" w:right="5987"/>
        <w:rPr>
          <w:rFonts w:ascii="Arial" w:hAnsi="Arial" w:cs="Arial"/>
        </w:rPr>
      </w:pPr>
      <w:r w:rsidRPr="00B20BD8">
        <w:rPr>
          <w:rFonts w:ascii="Arial" w:hAnsi="Arial" w:cs="Arial"/>
        </w:rPr>
        <w:t>Dr. Lara Sypniewski, DVM, DABVP, College of Veterinary Medicine, Oklahoma State University, USA</w:t>
      </w:r>
    </w:p>
    <w:p w:rsidR="00AE3E37" w:rsidRPr="00B20BD8" w:rsidRDefault="00AE3E37">
      <w:pPr>
        <w:pStyle w:val="BodyText"/>
        <w:spacing w:before="3"/>
        <w:rPr>
          <w:rFonts w:ascii="Arial" w:hAnsi="Arial" w:cs="Arial"/>
          <w:sz w:val="21"/>
        </w:rPr>
      </w:pPr>
    </w:p>
    <w:p w:rsidR="00AE3E37" w:rsidRPr="00B20BD8" w:rsidRDefault="00AE3E37">
      <w:pPr>
        <w:rPr>
          <w:rFonts w:ascii="Arial" w:hAnsi="Arial" w:cs="Arial"/>
          <w:sz w:val="21"/>
        </w:rPr>
        <w:sectPr w:rsidR="00AE3E37" w:rsidRPr="00B20BD8">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sidRPr="00B20BD8">
        <w:rPr>
          <w:color w:val="BF5A14"/>
        </w:rPr>
        <w:t>Abstract</w:t>
      </w:r>
      <w:r w:rsidR="00404E5B" w:rsidRPr="00B20BD8">
        <w:rPr>
          <w:color w:val="BF5A14"/>
        </w:rPr>
        <w:t xml:space="preserve"> (</w:t>
      </w:r>
      <w:proofErr w:type="gramStart"/>
      <w:r w:rsidR="00404E5B" w:rsidRPr="00B20BD8">
        <w:rPr>
          <w:color w:val="BF5A14"/>
        </w:rPr>
        <w:t>300 word</w:t>
      </w:r>
      <w:proofErr w:type="gramEnd"/>
      <w:r w:rsidR="00404E5B" w:rsidRPr="00B20BD8">
        <w:rPr>
          <w:color w:val="BF5A14"/>
        </w:rPr>
        <w:t xml:space="preserve"> limit)</w:t>
      </w:r>
    </w:p>
    <w:p w:rsidR="00EC79FF" w:rsidRPr="00EC79FF" w:rsidRDefault="00EC79FF" w:rsidP="00EC79FF">
      <w:pPr>
        <w:pStyle w:val="Heading3"/>
        <w:spacing w:before="74"/>
        <w:rPr>
          <w:b w:val="0"/>
        </w:rPr>
      </w:pPr>
      <w:r w:rsidRPr="00EC79FF">
        <w:rPr>
          <w:b w:val="0"/>
        </w:rPr>
        <w:t xml:space="preserve">Seizures are a common symptom in companion animals and epilepsy is the most common chronic neurologic disease managed </w:t>
      </w:r>
      <w:r>
        <w:rPr>
          <w:b w:val="0"/>
        </w:rPr>
        <w:t xml:space="preserve">by small animal practitioners. </w:t>
      </w:r>
      <w:r w:rsidRPr="00EC79FF">
        <w:rPr>
          <w:b w:val="0"/>
        </w:rPr>
        <w:t xml:space="preserve">There are many </w:t>
      </w:r>
      <w:r>
        <w:rPr>
          <w:b w:val="0"/>
        </w:rPr>
        <w:t>traditional anticonvulsant medications</w:t>
      </w:r>
      <w:r w:rsidRPr="00EC79FF">
        <w:rPr>
          <w:b w:val="0"/>
        </w:rPr>
        <w:t xml:space="preserve"> available </w:t>
      </w:r>
      <w:r>
        <w:rPr>
          <w:b w:val="0"/>
        </w:rPr>
        <w:t xml:space="preserve">for use in </w:t>
      </w:r>
      <w:r w:rsidRPr="00EC79FF">
        <w:rPr>
          <w:b w:val="0"/>
        </w:rPr>
        <w:t>canine and feline seizure patients</w:t>
      </w:r>
      <w:r w:rsidR="004213C4">
        <w:rPr>
          <w:b w:val="0"/>
        </w:rPr>
        <w:t xml:space="preserve">, including barbiturates, levetiracetam, zonisamide, potassium bromide and imepitoin.  </w:t>
      </w:r>
      <w:r w:rsidR="0008353C">
        <w:rPr>
          <w:b w:val="0"/>
        </w:rPr>
        <w:t>Although efficacious, these medications often have undesirable side effects that limit their use in individual patients.</w:t>
      </w:r>
      <w:r w:rsidR="00E92B9E">
        <w:rPr>
          <w:b w:val="0"/>
        </w:rPr>
        <w:t xml:space="preserve">  </w:t>
      </w:r>
      <w:r w:rsidR="0008353C">
        <w:rPr>
          <w:b w:val="0"/>
        </w:rPr>
        <w:t>V</w:t>
      </w:r>
      <w:r w:rsidR="004213C4">
        <w:rPr>
          <w:b w:val="0"/>
        </w:rPr>
        <w:t xml:space="preserve">eterinarians should be knowledgeable of the complementary therapies </w:t>
      </w:r>
      <w:r w:rsidR="0008353C">
        <w:rPr>
          <w:b w:val="0"/>
        </w:rPr>
        <w:t>that aid</w:t>
      </w:r>
      <w:r w:rsidR="004213C4">
        <w:rPr>
          <w:b w:val="0"/>
        </w:rPr>
        <w:t xml:space="preserve"> in seizure </w:t>
      </w:r>
      <w:r w:rsidRPr="00EC79FF">
        <w:rPr>
          <w:b w:val="0"/>
        </w:rPr>
        <w:t xml:space="preserve">frequency </w:t>
      </w:r>
      <w:r w:rsidR="004213C4">
        <w:rPr>
          <w:b w:val="0"/>
        </w:rPr>
        <w:t xml:space="preserve">reduction </w:t>
      </w:r>
      <w:r w:rsidR="0008353C">
        <w:rPr>
          <w:b w:val="0"/>
        </w:rPr>
        <w:t xml:space="preserve">thereby improving the </w:t>
      </w:r>
      <w:r w:rsidRPr="00EC79FF">
        <w:rPr>
          <w:b w:val="0"/>
        </w:rPr>
        <w:t>quality of life</w:t>
      </w:r>
      <w:r w:rsidR="004213C4">
        <w:rPr>
          <w:b w:val="0"/>
        </w:rPr>
        <w:t xml:space="preserve"> </w:t>
      </w:r>
      <w:r w:rsidR="0008353C">
        <w:rPr>
          <w:b w:val="0"/>
        </w:rPr>
        <w:t>of the</w:t>
      </w:r>
      <w:r w:rsidR="004213C4">
        <w:rPr>
          <w:b w:val="0"/>
        </w:rPr>
        <w:t xml:space="preserve"> affected patient</w:t>
      </w:r>
      <w:r w:rsidR="0008353C">
        <w:rPr>
          <w:b w:val="0"/>
        </w:rPr>
        <w:t xml:space="preserve"> and the pet owner</w:t>
      </w:r>
      <w:r w:rsidR="004213C4">
        <w:rPr>
          <w:b w:val="0"/>
        </w:rPr>
        <w:t xml:space="preserve">.  Veterinary </w:t>
      </w:r>
      <w:r w:rsidRPr="00EC79FF">
        <w:rPr>
          <w:b w:val="0"/>
        </w:rPr>
        <w:t xml:space="preserve">patient health care teams </w:t>
      </w:r>
      <w:r w:rsidR="004213C4">
        <w:rPr>
          <w:b w:val="0"/>
        </w:rPr>
        <w:t xml:space="preserve">may consider a </w:t>
      </w:r>
      <w:r w:rsidRPr="00EC79FF">
        <w:rPr>
          <w:b w:val="0"/>
        </w:rPr>
        <w:t>poly-modal approach</w:t>
      </w:r>
      <w:r w:rsidR="004213C4">
        <w:rPr>
          <w:b w:val="0"/>
        </w:rPr>
        <w:t xml:space="preserve"> to seizure treatment to improve patient outcomes. The use of an appropriate </w:t>
      </w:r>
      <w:r w:rsidR="0008353C">
        <w:rPr>
          <w:b w:val="0"/>
        </w:rPr>
        <w:t>anticonvulsant medication</w:t>
      </w:r>
      <w:r w:rsidR="004213C4">
        <w:rPr>
          <w:b w:val="0"/>
        </w:rPr>
        <w:t xml:space="preserve"> in addition to integrative therapies such as cannabinoids, dietary modification, lifestyle strategies and acupuncture therapy constitutes a </w:t>
      </w:r>
      <w:proofErr w:type="spellStart"/>
      <w:r w:rsidR="004213C4">
        <w:rPr>
          <w:b w:val="0"/>
        </w:rPr>
        <w:t>wholistic</w:t>
      </w:r>
      <w:proofErr w:type="spellEnd"/>
      <w:r w:rsidR="004213C4">
        <w:rPr>
          <w:b w:val="0"/>
        </w:rPr>
        <w:t xml:space="preserve"> approach to the </w:t>
      </w:r>
      <w:r w:rsidR="0008353C">
        <w:rPr>
          <w:b w:val="0"/>
        </w:rPr>
        <w:t xml:space="preserve">seizure patient. </w:t>
      </w:r>
      <w:r w:rsidR="00E92B9E">
        <w:rPr>
          <w:b w:val="0"/>
        </w:rPr>
        <w:t xml:space="preserve">In addition, many of these interventions lack significant side effects while impacting seizure frequency.  This lecture will discuss the common medicinal interventions utilized in veterinary medicine today as well as to introduce veterinarians to complementary strategies and the current research regarding their effectiveness in canine and feline seizure patients. </w:t>
      </w:r>
    </w:p>
    <w:p w:rsidR="005973B9" w:rsidRPr="00B20BD8" w:rsidRDefault="00A9710C" w:rsidP="00C22EEF">
      <w:pPr>
        <w:pStyle w:val="Heading3"/>
        <w:spacing w:before="74"/>
        <w:rPr>
          <w:b w:val="0"/>
        </w:rPr>
      </w:pPr>
      <w:r w:rsidRPr="00B20BD8">
        <w:rPr>
          <w:b w:val="0"/>
        </w:rPr>
        <w:br w:type="column"/>
      </w:r>
      <w:r w:rsidR="005973B9" w:rsidRPr="00B20BD8">
        <w:rPr>
          <w:color w:val="BF5A14"/>
        </w:rPr>
        <w:t>Recent Publications (minimum 5)</w:t>
      </w:r>
    </w:p>
    <w:p w:rsidR="0008353C" w:rsidRDefault="0008353C" w:rsidP="0008353C">
      <w:pPr>
        <w:pStyle w:val="ListParagraph"/>
        <w:numPr>
          <w:ilvl w:val="0"/>
          <w:numId w:val="4"/>
        </w:numPr>
        <w:tabs>
          <w:tab w:val="left" w:pos="384"/>
        </w:tabs>
        <w:ind w:right="117"/>
        <w:rPr>
          <w:rFonts w:ascii="Arial" w:hAnsi="Arial" w:cs="Arial"/>
          <w:sz w:val="16"/>
        </w:rPr>
      </w:pPr>
      <w:proofErr w:type="spellStart"/>
      <w:r w:rsidRPr="0008353C">
        <w:rPr>
          <w:rFonts w:ascii="Arial" w:hAnsi="Arial" w:cs="Arial"/>
          <w:sz w:val="16"/>
        </w:rPr>
        <w:t>Berendt</w:t>
      </w:r>
      <w:proofErr w:type="spellEnd"/>
      <w:r w:rsidRPr="0008353C">
        <w:rPr>
          <w:rFonts w:ascii="Arial" w:hAnsi="Arial" w:cs="Arial"/>
          <w:sz w:val="16"/>
        </w:rPr>
        <w:t>, M., et al., International veterinary epilepsy task force consensus report on epilepsy definition, classification and terminology in companion animals. BMC veterinary research, 2015. 11(1): p. 182.</w:t>
      </w:r>
    </w:p>
    <w:p w:rsidR="00C22EEF" w:rsidRPr="0038446B" w:rsidRDefault="0008353C" w:rsidP="0008353C">
      <w:pPr>
        <w:pStyle w:val="ListParagraph"/>
        <w:numPr>
          <w:ilvl w:val="0"/>
          <w:numId w:val="4"/>
        </w:numPr>
        <w:tabs>
          <w:tab w:val="left" w:pos="384"/>
        </w:tabs>
        <w:ind w:right="117"/>
        <w:rPr>
          <w:rFonts w:ascii="Arial" w:hAnsi="Arial" w:cs="Arial"/>
          <w:sz w:val="16"/>
        </w:rPr>
      </w:pPr>
      <w:proofErr w:type="spellStart"/>
      <w:r w:rsidRPr="0008353C">
        <w:rPr>
          <w:rFonts w:ascii="Arial" w:hAnsi="Arial" w:cs="Arial"/>
          <w:sz w:val="16"/>
        </w:rPr>
        <w:t>lanton</w:t>
      </w:r>
      <w:proofErr w:type="spellEnd"/>
      <w:r w:rsidRPr="0008353C">
        <w:rPr>
          <w:rFonts w:ascii="Arial" w:hAnsi="Arial" w:cs="Arial"/>
          <w:sz w:val="16"/>
        </w:rPr>
        <w:t>, R.M., et al., Control of seizures by ketogenic diet-induced modulation of metabolic pathways. Amino Acids, 2017. 49(1): p. 1-</w:t>
      </w:r>
      <w:proofErr w:type="gramStart"/>
      <w:r w:rsidRPr="0008353C">
        <w:rPr>
          <w:rFonts w:ascii="Arial" w:hAnsi="Arial" w:cs="Arial"/>
          <w:sz w:val="16"/>
        </w:rPr>
        <w:t>20.</w:t>
      </w:r>
      <w:r w:rsidR="00C22EEF" w:rsidRPr="0038446B">
        <w:rPr>
          <w:rFonts w:ascii="Arial" w:hAnsi="Arial" w:cs="Arial"/>
          <w:sz w:val="16"/>
        </w:rPr>
        <w:t>.</w:t>
      </w:r>
      <w:proofErr w:type="gramEnd"/>
    </w:p>
    <w:p w:rsidR="0008353C" w:rsidRDefault="0008353C" w:rsidP="0008353C">
      <w:pPr>
        <w:pStyle w:val="ListParagraph"/>
        <w:numPr>
          <w:ilvl w:val="0"/>
          <w:numId w:val="4"/>
        </w:numPr>
        <w:tabs>
          <w:tab w:val="left" w:pos="384"/>
        </w:tabs>
        <w:ind w:right="117"/>
        <w:rPr>
          <w:rFonts w:ascii="Arial" w:hAnsi="Arial" w:cs="Arial"/>
          <w:sz w:val="16"/>
        </w:rPr>
      </w:pPr>
      <w:proofErr w:type="spellStart"/>
      <w:r w:rsidRPr="0008353C">
        <w:rPr>
          <w:rFonts w:ascii="Arial" w:hAnsi="Arial" w:cs="Arial"/>
          <w:sz w:val="16"/>
        </w:rPr>
        <w:t>Billakota</w:t>
      </w:r>
      <w:proofErr w:type="spellEnd"/>
      <w:r w:rsidRPr="0008353C">
        <w:rPr>
          <w:rFonts w:ascii="Arial" w:hAnsi="Arial" w:cs="Arial"/>
          <w:sz w:val="16"/>
        </w:rPr>
        <w:t xml:space="preserve">, S., O. </w:t>
      </w:r>
      <w:proofErr w:type="spellStart"/>
      <w:r w:rsidRPr="0008353C">
        <w:rPr>
          <w:rFonts w:ascii="Arial" w:hAnsi="Arial" w:cs="Arial"/>
          <w:sz w:val="16"/>
        </w:rPr>
        <w:t>Devinsky</w:t>
      </w:r>
      <w:proofErr w:type="spellEnd"/>
      <w:r w:rsidRPr="0008353C">
        <w:rPr>
          <w:rFonts w:ascii="Arial" w:hAnsi="Arial" w:cs="Arial"/>
          <w:sz w:val="16"/>
        </w:rPr>
        <w:t>, and E. Marsh, Cannabinoid therapy in epilepsy. Current opinion in neurology, 2019. 32(2): p. 220-226.</w:t>
      </w:r>
    </w:p>
    <w:p w:rsidR="0008353C" w:rsidRDefault="0008353C" w:rsidP="0008353C">
      <w:pPr>
        <w:pStyle w:val="ListParagraph"/>
        <w:numPr>
          <w:ilvl w:val="0"/>
          <w:numId w:val="4"/>
        </w:numPr>
        <w:tabs>
          <w:tab w:val="left" w:pos="384"/>
        </w:tabs>
        <w:ind w:right="117"/>
        <w:rPr>
          <w:rFonts w:ascii="Arial" w:hAnsi="Arial" w:cs="Arial"/>
          <w:sz w:val="16"/>
        </w:rPr>
      </w:pPr>
      <w:proofErr w:type="spellStart"/>
      <w:r w:rsidRPr="0008353C">
        <w:rPr>
          <w:rFonts w:ascii="Arial" w:hAnsi="Arial" w:cs="Arial"/>
          <w:sz w:val="16"/>
        </w:rPr>
        <w:t>Moskaleva</w:t>
      </w:r>
      <w:proofErr w:type="spellEnd"/>
      <w:r w:rsidRPr="0008353C">
        <w:rPr>
          <w:rFonts w:ascii="Arial" w:hAnsi="Arial" w:cs="Arial"/>
          <w:sz w:val="16"/>
        </w:rPr>
        <w:t>, P.V., et al., Exogenous melatonin as a disease-modifying therapy for epilepsy. Epilepsy and paroxysmal conditions, 2019. 11(2): p. 124-141.</w:t>
      </w:r>
    </w:p>
    <w:p w:rsidR="0008353C" w:rsidRDefault="0008353C" w:rsidP="0008353C">
      <w:pPr>
        <w:pStyle w:val="ListParagraph"/>
        <w:numPr>
          <w:ilvl w:val="0"/>
          <w:numId w:val="4"/>
        </w:numPr>
        <w:tabs>
          <w:tab w:val="left" w:pos="384"/>
        </w:tabs>
        <w:ind w:right="117"/>
        <w:rPr>
          <w:rFonts w:ascii="Arial" w:hAnsi="Arial" w:cs="Arial"/>
          <w:sz w:val="16"/>
        </w:rPr>
      </w:pPr>
      <w:proofErr w:type="spellStart"/>
      <w:r w:rsidRPr="0008353C">
        <w:rPr>
          <w:rFonts w:ascii="Arial" w:hAnsi="Arial" w:cs="Arial"/>
          <w:sz w:val="16"/>
        </w:rPr>
        <w:t>Rogawski</w:t>
      </w:r>
      <w:proofErr w:type="spellEnd"/>
      <w:r w:rsidRPr="0008353C">
        <w:rPr>
          <w:rFonts w:ascii="Arial" w:hAnsi="Arial" w:cs="Arial"/>
          <w:sz w:val="16"/>
        </w:rPr>
        <w:t xml:space="preserve">, M.A., W. </w:t>
      </w:r>
      <w:proofErr w:type="spellStart"/>
      <w:r w:rsidRPr="0008353C">
        <w:rPr>
          <w:rFonts w:ascii="Arial" w:hAnsi="Arial" w:cs="Arial"/>
          <w:sz w:val="16"/>
        </w:rPr>
        <w:t>Löscher</w:t>
      </w:r>
      <w:proofErr w:type="spellEnd"/>
      <w:r w:rsidRPr="0008353C">
        <w:rPr>
          <w:rFonts w:ascii="Arial" w:hAnsi="Arial" w:cs="Arial"/>
          <w:sz w:val="16"/>
        </w:rPr>
        <w:t xml:space="preserve">, and J.M. Rho, Mechanisms of action of </w:t>
      </w:r>
      <w:proofErr w:type="spellStart"/>
      <w:r w:rsidRPr="0008353C">
        <w:rPr>
          <w:rFonts w:ascii="Arial" w:hAnsi="Arial" w:cs="Arial"/>
          <w:sz w:val="16"/>
        </w:rPr>
        <w:t>antiseizure</w:t>
      </w:r>
      <w:proofErr w:type="spellEnd"/>
      <w:r w:rsidRPr="0008353C">
        <w:rPr>
          <w:rFonts w:ascii="Arial" w:hAnsi="Arial" w:cs="Arial"/>
          <w:sz w:val="16"/>
        </w:rPr>
        <w:t xml:space="preserve"> drugs and the ketogenic diet. Cold Spring Harbor perspectives in medicine, 2016. 6(5): p. a022780.</w:t>
      </w:r>
    </w:p>
    <w:p w:rsidR="0008353C" w:rsidRPr="0008353C" w:rsidRDefault="0008353C" w:rsidP="0043184A">
      <w:pPr>
        <w:pStyle w:val="ListParagraph"/>
        <w:numPr>
          <w:ilvl w:val="0"/>
          <w:numId w:val="4"/>
        </w:numPr>
        <w:tabs>
          <w:tab w:val="left" w:pos="384"/>
        </w:tabs>
        <w:ind w:right="117"/>
        <w:rPr>
          <w:rFonts w:ascii="Arial" w:hAnsi="Arial" w:cs="Arial"/>
          <w:sz w:val="20"/>
        </w:rPr>
      </w:pPr>
      <w:proofErr w:type="spellStart"/>
      <w:r w:rsidRPr="0008353C">
        <w:rPr>
          <w:rFonts w:ascii="Arial" w:hAnsi="Arial" w:cs="Arial"/>
          <w:sz w:val="16"/>
        </w:rPr>
        <w:t>DeGiorgio</w:t>
      </w:r>
      <w:proofErr w:type="spellEnd"/>
      <w:r w:rsidRPr="0008353C">
        <w:rPr>
          <w:rFonts w:ascii="Arial" w:hAnsi="Arial" w:cs="Arial"/>
          <w:sz w:val="16"/>
        </w:rPr>
        <w:t xml:space="preserve">, C.M. and A.Y. </w:t>
      </w:r>
      <w:proofErr w:type="spellStart"/>
      <w:r w:rsidRPr="0008353C">
        <w:rPr>
          <w:rFonts w:ascii="Arial" w:hAnsi="Arial" w:cs="Arial"/>
          <w:sz w:val="16"/>
        </w:rPr>
        <w:t>Taha</w:t>
      </w:r>
      <w:proofErr w:type="spellEnd"/>
      <w:r w:rsidRPr="0008353C">
        <w:rPr>
          <w:rFonts w:ascii="Arial" w:hAnsi="Arial" w:cs="Arial"/>
          <w:sz w:val="16"/>
        </w:rPr>
        <w:t xml:space="preserve">, Omega-3 fatty acids (ῳ-3 fatty acids) in epilepsy: animal models and human clinical trials. Expert review of </w:t>
      </w:r>
      <w:proofErr w:type="spellStart"/>
      <w:r w:rsidRPr="0008353C">
        <w:rPr>
          <w:rFonts w:ascii="Arial" w:hAnsi="Arial" w:cs="Arial"/>
          <w:sz w:val="16"/>
        </w:rPr>
        <w:t>neurotherapeutics</w:t>
      </w:r>
      <w:proofErr w:type="spellEnd"/>
      <w:r w:rsidRPr="0008353C">
        <w:rPr>
          <w:rFonts w:ascii="Arial" w:hAnsi="Arial" w:cs="Arial"/>
          <w:sz w:val="16"/>
        </w:rPr>
        <w:t>, 2016. 16(10): p. 1141-1145.</w:t>
      </w:r>
    </w:p>
    <w:p w:rsidR="0008353C" w:rsidRPr="0008353C" w:rsidRDefault="0008353C" w:rsidP="0008353C">
      <w:pPr>
        <w:pStyle w:val="ListParagraph"/>
        <w:numPr>
          <w:ilvl w:val="0"/>
          <w:numId w:val="4"/>
        </w:numPr>
        <w:tabs>
          <w:tab w:val="left" w:pos="384"/>
        </w:tabs>
        <w:ind w:right="117"/>
        <w:rPr>
          <w:rFonts w:ascii="Arial" w:hAnsi="Arial" w:cs="Arial"/>
          <w:sz w:val="16"/>
        </w:rPr>
      </w:pPr>
      <w:proofErr w:type="spellStart"/>
      <w:r w:rsidRPr="0008353C">
        <w:rPr>
          <w:rFonts w:ascii="Arial" w:hAnsi="Arial" w:cs="Arial"/>
          <w:sz w:val="16"/>
        </w:rPr>
        <w:t>Sucher</w:t>
      </w:r>
      <w:proofErr w:type="spellEnd"/>
      <w:r w:rsidRPr="0008353C">
        <w:rPr>
          <w:rFonts w:ascii="Arial" w:hAnsi="Arial" w:cs="Arial"/>
          <w:sz w:val="16"/>
        </w:rPr>
        <w:t xml:space="preserve">, N.J. and M.C. </w:t>
      </w:r>
      <w:proofErr w:type="spellStart"/>
      <w:r w:rsidRPr="0008353C">
        <w:rPr>
          <w:rFonts w:ascii="Arial" w:hAnsi="Arial" w:cs="Arial"/>
          <w:sz w:val="16"/>
        </w:rPr>
        <w:t>Carles</w:t>
      </w:r>
      <w:proofErr w:type="spellEnd"/>
      <w:r w:rsidRPr="0008353C">
        <w:rPr>
          <w:rFonts w:ascii="Arial" w:hAnsi="Arial" w:cs="Arial"/>
          <w:sz w:val="16"/>
        </w:rPr>
        <w:t>, A pharmacological basis of herbal medicines for epilepsy. Epilepsy &amp; Behavior, 2015. 52: p. 308-318</w:t>
      </w:r>
      <w:r>
        <w:t>.</w:t>
      </w:r>
    </w:p>
    <w:p w:rsidR="0008353C" w:rsidRPr="0008353C" w:rsidRDefault="0008353C" w:rsidP="0008353C">
      <w:pPr>
        <w:pStyle w:val="ListParagraph"/>
        <w:numPr>
          <w:ilvl w:val="0"/>
          <w:numId w:val="4"/>
        </w:numPr>
        <w:tabs>
          <w:tab w:val="left" w:pos="384"/>
        </w:tabs>
        <w:ind w:right="117"/>
        <w:rPr>
          <w:rFonts w:ascii="Arial" w:hAnsi="Arial" w:cs="Arial"/>
          <w:sz w:val="16"/>
        </w:rPr>
      </w:pPr>
      <w:proofErr w:type="spellStart"/>
      <w:r>
        <w:rPr>
          <w:rFonts w:ascii="Arial" w:hAnsi="Arial" w:cs="Arial"/>
          <w:sz w:val="16"/>
        </w:rPr>
        <w:t>N</w:t>
      </w:r>
      <w:r w:rsidRPr="0008353C">
        <w:rPr>
          <w:rFonts w:ascii="Arial" w:hAnsi="Arial" w:cs="Arial"/>
          <w:sz w:val="16"/>
        </w:rPr>
        <w:t>akken</w:t>
      </w:r>
      <w:proofErr w:type="spellEnd"/>
      <w:r w:rsidRPr="0008353C">
        <w:rPr>
          <w:rFonts w:ascii="Arial" w:hAnsi="Arial" w:cs="Arial"/>
          <w:sz w:val="16"/>
        </w:rPr>
        <w:t>, K.O., et al., Which seizure-precipitating factors do patients with epilepsy most frequently report? Epilepsy &amp; Behavior, 2005. 6(1): p. 85-89.</w:t>
      </w:r>
    </w:p>
    <w:p w:rsidR="0008353C" w:rsidRPr="0008353C" w:rsidRDefault="0008353C" w:rsidP="00C22EEF">
      <w:pPr>
        <w:pStyle w:val="ListParagraph"/>
        <w:numPr>
          <w:ilvl w:val="0"/>
          <w:numId w:val="4"/>
        </w:numPr>
        <w:tabs>
          <w:tab w:val="left" w:pos="384"/>
        </w:tabs>
        <w:ind w:right="117"/>
        <w:rPr>
          <w:rFonts w:ascii="Arial" w:hAnsi="Arial" w:cs="Arial"/>
          <w:sz w:val="20"/>
        </w:rPr>
        <w:sectPr w:rsidR="0008353C" w:rsidRPr="0008353C">
          <w:type w:val="continuous"/>
          <w:pgSz w:w="11910" w:h="16840"/>
          <w:pgMar w:top="1740" w:right="600" w:bottom="840" w:left="620" w:header="720" w:footer="720" w:gutter="0"/>
          <w:cols w:num="2" w:space="720" w:equalWidth="0">
            <w:col w:w="5214" w:space="138"/>
            <w:col w:w="5338"/>
          </w:cols>
        </w:sectPr>
      </w:pPr>
      <w:proofErr w:type="spellStart"/>
      <w:r w:rsidRPr="0008353C">
        <w:rPr>
          <w:rFonts w:ascii="Arial" w:hAnsi="Arial" w:cs="Arial"/>
          <w:sz w:val="16"/>
        </w:rPr>
        <w:t>Forsgård</w:t>
      </w:r>
      <w:proofErr w:type="spellEnd"/>
      <w:r w:rsidRPr="0008353C">
        <w:rPr>
          <w:rFonts w:ascii="Arial" w:hAnsi="Arial" w:cs="Arial"/>
          <w:sz w:val="16"/>
        </w:rPr>
        <w:t>, J.A., et al., Seizure</w:t>
      </w:r>
      <w:r w:rsidRPr="0008353C">
        <w:rPr>
          <w:rFonts w:ascii="Cambria Math" w:hAnsi="Cambria Math" w:cs="Cambria Math"/>
          <w:sz w:val="16"/>
        </w:rPr>
        <w:t>‐</w:t>
      </w:r>
      <w:r w:rsidRPr="0008353C">
        <w:rPr>
          <w:rFonts w:ascii="Arial" w:hAnsi="Arial" w:cs="Arial"/>
          <w:sz w:val="16"/>
        </w:rPr>
        <w:t>precipitating factors in dogs with idiopathic epilepsy. Journal of veterinary internal medicine, 2019. 33(2): p. 7</w:t>
      </w:r>
      <w:r>
        <w:rPr>
          <w:rFonts w:ascii="Arial" w:hAnsi="Arial" w:cs="Arial"/>
          <w:sz w:val="16"/>
        </w:rPr>
        <w:t>01-707.</w:t>
      </w:r>
    </w:p>
    <w:p w:rsidR="00AE3E37" w:rsidRPr="00B20BD8" w:rsidRDefault="00D62425">
      <w:pPr>
        <w:pStyle w:val="BodyText"/>
        <w:rPr>
          <w:rFonts w:ascii="Arial" w:hAnsi="Arial" w:cs="Arial"/>
          <w:b/>
          <w:sz w:val="20"/>
        </w:rPr>
      </w:pPr>
      <w:r w:rsidRPr="00B20BD8">
        <w:rPr>
          <w:rFonts w:ascii="Arial" w:hAnsi="Arial" w:cs="Arial"/>
          <w:sz w:val="20"/>
        </w:rPr>
        <w:t xml:space="preserve">                 </w:t>
      </w:r>
      <w:r w:rsidRPr="00B20BD8">
        <w:rPr>
          <w:rFonts w:ascii="Arial" w:hAnsi="Arial" w:cs="Arial"/>
          <w:b/>
          <w:sz w:val="20"/>
        </w:rPr>
        <w:t>Photograph</w:t>
      </w:r>
    </w:p>
    <w:p w:rsidR="00AE3E37" w:rsidRPr="00B20BD8" w:rsidRDefault="00292ED9">
      <w:pPr>
        <w:pStyle w:val="BodyText"/>
        <w:spacing w:line="40" w:lineRule="exact"/>
        <w:ind w:left="2202"/>
        <w:rPr>
          <w:rFonts w:ascii="Arial" w:hAnsi="Arial" w:cs="Arial"/>
          <w:sz w:val="4"/>
        </w:rPr>
      </w:pPr>
      <w:r w:rsidRPr="00B20BD8">
        <w:rPr>
          <w:rFonts w:ascii="Arial" w:hAnsi="Arial" w:cs="Arial"/>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BEEE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B20BD8" w:rsidRDefault="008756E6" w:rsidP="00404E5B">
      <w:pPr>
        <w:spacing w:before="92"/>
        <w:ind w:right="4234"/>
        <w:rPr>
          <w:rFonts w:ascii="Arial" w:hAnsi="Arial" w:cs="Arial"/>
        </w:rPr>
      </w:pPr>
      <w:r w:rsidRPr="00B20BD8">
        <w:rPr>
          <w:rFonts w:ascii="Arial" w:hAnsi="Arial" w:cs="Arial"/>
          <w:noProof/>
        </w:rPr>
        <w:t xml:space="preserve">              </w:t>
      </w:r>
      <w:r w:rsidRPr="00B20BD8">
        <w:rPr>
          <w:rFonts w:ascii="Arial" w:hAnsi="Arial" w:cs="Arial"/>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B20BD8">
        <w:rPr>
          <w:rFonts w:ascii="Arial" w:hAnsi="Arial" w:cs="Arial"/>
          <w:color w:val="BF5A14"/>
        </w:rPr>
        <w:t>Biography</w:t>
      </w:r>
      <w:r w:rsidR="00404E5B" w:rsidRPr="00B20BD8">
        <w:rPr>
          <w:rFonts w:ascii="Arial" w:hAnsi="Arial" w:cs="Arial"/>
          <w:color w:val="BF5A14"/>
        </w:rPr>
        <w:t xml:space="preserve"> (150 word limit)</w:t>
      </w:r>
    </w:p>
    <w:p w:rsidR="00B20BD8" w:rsidRPr="00B20BD8" w:rsidRDefault="00B20BD8" w:rsidP="00B20BD8">
      <w:pPr>
        <w:rPr>
          <w:rFonts w:ascii="Calibri" w:eastAsiaTheme="minorHAnsi" w:hAnsi="Calibri" w:cs="Calibri"/>
          <w:color w:val="1F497D"/>
          <w:sz w:val="16"/>
        </w:rPr>
      </w:pPr>
      <w:r w:rsidRPr="00B20BD8">
        <w:rPr>
          <w:color w:val="1F497D"/>
          <w:sz w:val="16"/>
        </w:rPr>
        <w:t>Lara Sypniewski, DVM, DABVP, CVA, CCRP, is the Patricia Henthorne Clinical Professor in Small Animal Medicine in the Department of Veterinary Clinical Sciences at Oklahoma State University. Dr. Sypniewski is a trained acupuncturist and</w:t>
      </w:r>
      <w:r>
        <w:rPr>
          <w:color w:val="1F497D"/>
          <w:sz w:val="16"/>
        </w:rPr>
        <w:t xml:space="preserve"> provides preventative and primary care </w:t>
      </w:r>
      <w:r w:rsidRPr="00B20BD8">
        <w:rPr>
          <w:color w:val="1F497D"/>
          <w:sz w:val="16"/>
        </w:rPr>
        <w:t xml:space="preserve">in the hospital’s community practice service. She uses a balanced approach to encourage whole animal wellness throughout each stage of life. Her research interests focus on pain relief in small animals and the impact of nutrition on canine health.  </w:t>
      </w:r>
    </w:p>
    <w:p w:rsidR="00AE3E37" w:rsidRPr="00B20BD8" w:rsidRDefault="00A9710C">
      <w:pPr>
        <w:spacing w:before="62"/>
        <w:ind w:left="4217" w:right="4235"/>
        <w:jc w:val="center"/>
        <w:rPr>
          <w:rFonts w:ascii="Arial" w:hAnsi="Arial" w:cs="Arial"/>
          <w:sz w:val="14"/>
        </w:rPr>
      </w:pPr>
      <w:r w:rsidRPr="00B20BD8">
        <w:rPr>
          <w:rFonts w:ascii="Arial" w:hAnsi="Arial" w:cs="Arial"/>
          <w:sz w:val="14"/>
        </w:rPr>
        <w:t xml:space="preserve">Email: </w:t>
      </w:r>
      <w:hyperlink r:id="rId10" w:history="1">
        <w:r w:rsidR="00B20BD8" w:rsidRPr="00EF3034">
          <w:rPr>
            <w:rStyle w:val="Hyperlink"/>
            <w:rFonts w:ascii="Arial" w:hAnsi="Arial" w:cs="Arial"/>
            <w:sz w:val="14"/>
          </w:rPr>
          <w:t>lara.sypniewski@okstate.edu</w:t>
        </w:r>
      </w:hyperlink>
    </w:p>
    <w:p w:rsidR="00AE3E37" w:rsidRPr="00B20BD8" w:rsidRDefault="00292ED9" w:rsidP="0038446B">
      <w:pPr>
        <w:pStyle w:val="BodyText"/>
        <w:spacing w:before="2"/>
        <w:rPr>
          <w:rFonts w:ascii="Arial" w:hAnsi="Arial" w:cs="Arial"/>
          <w:sz w:val="20"/>
        </w:rPr>
      </w:pPr>
      <w:r w:rsidRPr="00B20BD8">
        <w:rPr>
          <w:rFonts w:ascii="Arial" w:hAnsi="Arial" w:cs="Arial"/>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BB5B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0BD8" w:rsidRDefault="00AE3E37">
      <w:pPr>
        <w:pStyle w:val="BodyText"/>
        <w:spacing w:before="7"/>
        <w:rPr>
          <w:rFonts w:ascii="Arial" w:hAnsi="Arial" w:cs="Arial"/>
          <w:sz w:val="29"/>
        </w:rPr>
      </w:pPr>
    </w:p>
    <w:p w:rsidR="00AE3E37" w:rsidRPr="00B20BD8" w:rsidRDefault="00A9710C">
      <w:pPr>
        <w:spacing w:before="39"/>
        <w:ind w:left="100"/>
        <w:rPr>
          <w:rFonts w:ascii="Arial" w:hAnsi="Arial" w:cs="Arial"/>
          <w:b/>
          <w:sz w:val="20"/>
        </w:rPr>
      </w:pPr>
      <w:r w:rsidRPr="00B20BD8">
        <w:rPr>
          <w:rFonts w:ascii="Arial" w:hAnsi="Arial" w:cs="Arial"/>
          <w:b/>
          <w:sz w:val="20"/>
        </w:rPr>
        <w:t>Notes/Comments:</w:t>
      </w:r>
    </w:p>
    <w:p w:rsidR="00AE3E37" w:rsidRPr="00B20BD8" w:rsidRDefault="00AE3E37">
      <w:pPr>
        <w:rPr>
          <w:rFonts w:ascii="Arial" w:hAnsi="Arial" w:cs="Arial"/>
          <w:sz w:val="24"/>
        </w:rPr>
        <w:sectPr w:rsidR="00AE3E37" w:rsidRPr="00B20BD8">
          <w:type w:val="continuous"/>
          <w:pgSz w:w="11910" w:h="16840"/>
          <w:pgMar w:top="1740" w:right="600" w:bottom="840" w:left="620" w:header="720" w:footer="720" w:gutter="0"/>
          <w:cols w:space="720"/>
        </w:sectPr>
      </w:pPr>
    </w:p>
    <w:p w:rsidR="00AE3E37" w:rsidRPr="00B20BD8" w:rsidRDefault="00AE3E37">
      <w:pPr>
        <w:pStyle w:val="BodyText"/>
        <w:spacing w:before="3"/>
        <w:rPr>
          <w:rFonts w:ascii="Arial" w:hAnsi="Arial" w:cs="Arial"/>
          <w:sz w:val="26"/>
        </w:rPr>
      </w:pPr>
    </w:p>
    <w:sectPr w:rsidR="00AE3E37" w:rsidRPr="00B20BD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75F" w:rsidRDefault="0035675F">
      <w:r>
        <w:separator/>
      </w:r>
    </w:p>
  </w:endnote>
  <w:endnote w:type="continuationSeparator" w:id="0">
    <w:p w:rsidR="0035675F" w:rsidRDefault="00356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75F" w:rsidRDefault="0035675F">
      <w:r>
        <w:separator/>
      </w:r>
    </w:p>
  </w:footnote>
  <w:footnote w:type="continuationSeparator" w:id="0">
    <w:p w:rsidR="0035675F" w:rsidRDefault="00356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A263643"/>
    <w:multiLevelType w:val="hybridMultilevel"/>
    <w:tmpl w:val="CA9AF482"/>
    <w:lvl w:ilvl="0" w:tplc="0409000F">
      <w:start w:val="1"/>
      <w:numFmt w:val="decimal"/>
      <w:lvlText w:val="%1."/>
      <w:lvlJc w:val="left"/>
      <w:pPr>
        <w:ind w:left="460" w:hanging="360"/>
      </w:p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353C"/>
    <w:rsid w:val="000A4E8B"/>
    <w:rsid w:val="000E2911"/>
    <w:rsid w:val="001263DF"/>
    <w:rsid w:val="00185740"/>
    <w:rsid w:val="001E763C"/>
    <w:rsid w:val="00292ED9"/>
    <w:rsid w:val="00314AFB"/>
    <w:rsid w:val="0035675F"/>
    <w:rsid w:val="0038446B"/>
    <w:rsid w:val="003B76D9"/>
    <w:rsid w:val="00404E5B"/>
    <w:rsid w:val="00414F7B"/>
    <w:rsid w:val="004213C4"/>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0BD8"/>
    <w:rsid w:val="00B21A57"/>
    <w:rsid w:val="00B7170C"/>
    <w:rsid w:val="00BD0DF9"/>
    <w:rsid w:val="00C22EEF"/>
    <w:rsid w:val="00C33602"/>
    <w:rsid w:val="00CD6F55"/>
    <w:rsid w:val="00D62425"/>
    <w:rsid w:val="00DE3104"/>
    <w:rsid w:val="00E3209A"/>
    <w:rsid w:val="00E92B9E"/>
    <w:rsid w:val="00EC79FF"/>
    <w:rsid w:val="00F72EEA"/>
    <w:rsid w:val="00F8136A"/>
    <w:rsid w:val="00F84CAE"/>
    <w:rsid w:val="00FA11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065FE"/>
  <w15:docId w15:val="{51670728-7A2C-4FEC-A773-E8223005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3743776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97920817">
      <w:bodyDiv w:val="1"/>
      <w:marLeft w:val="0"/>
      <w:marRight w:val="0"/>
      <w:marTop w:val="0"/>
      <w:marBottom w:val="0"/>
      <w:divBdr>
        <w:top w:val="none" w:sz="0" w:space="0" w:color="auto"/>
        <w:left w:val="none" w:sz="0" w:space="0" w:color="auto"/>
        <w:bottom w:val="none" w:sz="0" w:space="0" w:color="auto"/>
        <w:right w:val="none" w:sz="0" w:space="0" w:color="auto"/>
      </w:divBdr>
    </w:div>
    <w:div w:id="21082350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lara.sypniewski@okstate.ed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Sypniewski, Lara</cp:lastModifiedBy>
  <cp:revision>2</cp:revision>
  <dcterms:created xsi:type="dcterms:W3CDTF">2020-08-12T16:47:00Z</dcterms:created>
  <dcterms:modified xsi:type="dcterms:W3CDTF">2020-08-12T16:47:00Z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