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2B" w:rsidRDefault="00BD532B" w:rsidP="00BD532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URWPalladioL-Bold" w:hAnsi="URWPalladioL-Bold" w:cs="URWPalladioL-Bold"/>
          <w:b/>
          <w:bCs/>
          <w:sz w:val="36"/>
          <w:szCs w:val="36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Identification, Genotyping and Antimicrobial</w:t>
      </w:r>
    </w:p>
    <w:p w:rsidR="00BD532B" w:rsidRDefault="00BD532B" w:rsidP="00BD532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URWPalladioL-Bold" w:hAnsi="URWPalladioL-Bold" w:cs="URWPalladioL-Bold"/>
          <w:b/>
          <w:bCs/>
          <w:sz w:val="36"/>
          <w:szCs w:val="36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 xml:space="preserve">Susceptibility Testing of </w:t>
      </w:r>
      <w:r w:rsidRPr="001555CB">
        <w:rPr>
          <w:rFonts w:ascii="URWPalladioL-BoldItal" w:hAnsi="URWPalladioL-BoldItal" w:cs="URWPalladioL-BoldItal"/>
          <w:b/>
          <w:bCs/>
          <w:i/>
          <w:iCs/>
          <w:sz w:val="36"/>
          <w:szCs w:val="36"/>
        </w:rPr>
        <w:t>Bruc</w:t>
      </w:r>
      <w:bookmarkStart w:id="0" w:name="_GoBack"/>
      <w:bookmarkEnd w:id="0"/>
      <w:r w:rsidRPr="001555CB">
        <w:rPr>
          <w:rFonts w:ascii="URWPalladioL-BoldItal" w:hAnsi="URWPalladioL-BoldItal" w:cs="URWPalladioL-BoldItal"/>
          <w:b/>
          <w:bCs/>
          <w:i/>
          <w:iCs/>
          <w:sz w:val="36"/>
          <w:szCs w:val="36"/>
        </w:rPr>
        <w:t>ella</w:t>
      </w:r>
      <w:r>
        <w:rPr>
          <w:rFonts w:ascii="URWPalladioL-BoldItal" w:hAnsi="URWPalladioL-BoldItal" w:cs="URWPalladioL-BoldItal"/>
          <w:b/>
          <w:bCs/>
          <w:sz w:val="36"/>
          <w:szCs w:val="36"/>
        </w:rPr>
        <w:t xml:space="preserve"> </w:t>
      </w:r>
      <w:r>
        <w:rPr>
          <w:rFonts w:ascii="URWPalladioL-Bold" w:hAnsi="URWPalladioL-Bold" w:cs="URWPalladioL-Bold"/>
          <w:b/>
          <w:bCs/>
          <w:sz w:val="36"/>
          <w:szCs w:val="36"/>
        </w:rPr>
        <w:t>spp. Isolated from</w:t>
      </w:r>
    </w:p>
    <w:p w:rsidR="00BD532B" w:rsidRDefault="00BD532B" w:rsidP="00BD532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URWPalladioL-Bold" w:hAnsi="URWPalladioL-Bold" w:cs="URWPalladioL-Bold"/>
          <w:b/>
          <w:bCs/>
          <w:sz w:val="28"/>
          <w:szCs w:val="28"/>
        </w:rPr>
      </w:pPr>
      <w:r>
        <w:rPr>
          <w:rFonts w:ascii="URWPalladioL-Bold" w:hAnsi="URWPalladioL-Bold" w:cs="URWPalladioL-Bold"/>
          <w:b/>
          <w:bCs/>
          <w:sz w:val="36"/>
          <w:szCs w:val="36"/>
        </w:rPr>
        <w:t>Livestock in Egypt</w:t>
      </w:r>
    </w:p>
    <w:p w:rsidR="00BD532B" w:rsidRDefault="00BD532B" w:rsidP="00BD532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URWPalladioL-Bold" w:hAnsi="URWPalladioL-Bold" w:cs="URWPalladioL-Bold"/>
          <w:b/>
          <w:bCs/>
          <w:sz w:val="28"/>
          <w:szCs w:val="28"/>
        </w:rPr>
      </w:pPr>
    </w:p>
    <w:p w:rsidR="0036215D" w:rsidRPr="0036215D" w:rsidRDefault="0036215D" w:rsidP="00BD532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URWPalladioL-Roma" w:hAnsi="URWPalladioL-Roma" w:cs="URWPalladioL-Roma"/>
          <w:sz w:val="28"/>
          <w:szCs w:val="28"/>
        </w:rPr>
      </w:pPr>
      <w:r w:rsidRPr="0036215D">
        <w:rPr>
          <w:rFonts w:ascii="URWPalladioL-Bold" w:hAnsi="URWPalladioL-Bold" w:cs="URWPalladioL-Bold"/>
          <w:b/>
          <w:bCs/>
          <w:sz w:val="28"/>
          <w:szCs w:val="28"/>
        </w:rPr>
        <w:t xml:space="preserve">Abstract: </w:t>
      </w:r>
      <w:r w:rsidRPr="0036215D">
        <w:rPr>
          <w:rFonts w:ascii="URWPalladioL-Roma" w:hAnsi="URWPalladioL-Roma" w:cs="URWPalladioL-Roma"/>
          <w:sz w:val="28"/>
          <w:szCs w:val="28"/>
        </w:rPr>
        <w:t>Brucellosis is a highly contagious zoonosis worldwide with economic and public health</w:t>
      </w:r>
      <w:r>
        <w:rPr>
          <w:rFonts w:ascii="URWPalladioL-Roma" w:hAnsi="URWPalladioL-Roma" w:cs="URWPalladioL-Roma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impacts. The aim of the present study was to identify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Brucella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>(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</w:t>
      </w:r>
      <w:r>
        <w:rPr>
          <w:rFonts w:ascii="URWPalladioL-Roma" w:hAnsi="URWPalladioL-Roma" w:cs="URWPalladioL-Roma"/>
          <w:sz w:val="28"/>
          <w:szCs w:val="28"/>
        </w:rPr>
        <w:t>.) spp. isolated from animal populations located in diff</w:t>
      </w:r>
      <w:r w:rsidRPr="0036215D">
        <w:rPr>
          <w:rFonts w:ascii="URWPalladioL-Roma" w:hAnsi="URWPalladioL-Roma" w:cs="URWPalladioL-Roma"/>
          <w:sz w:val="28"/>
          <w:szCs w:val="28"/>
        </w:rPr>
        <w:t>erent districts of Egypt and to determine their antimicrobial resistance.</w:t>
      </w:r>
    </w:p>
    <w:p w:rsidR="00292B96" w:rsidRPr="0036215D" w:rsidRDefault="0036215D" w:rsidP="0036215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URWPalladioL-Roma" w:hAnsi="URWPalladioL-Roma" w:cs="URWPalladioL-Roma" w:hint="cs"/>
          <w:sz w:val="28"/>
          <w:szCs w:val="28"/>
        </w:rPr>
      </w:pPr>
      <w:r w:rsidRPr="0036215D">
        <w:rPr>
          <w:rFonts w:ascii="URWPalladioL-Roma" w:hAnsi="URWPalladioL-Roma" w:cs="URWPalladioL-Roma"/>
          <w:sz w:val="28"/>
          <w:szCs w:val="28"/>
        </w:rPr>
        <w:t xml:space="preserve">In total, 34-suspected 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Brucella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isolates were recovered from lymph </w:t>
      </w:r>
      <w:r>
        <w:rPr>
          <w:rFonts w:ascii="URWPalladioL-Roma" w:hAnsi="URWPalladioL-Roma" w:cs="URWPalladioL-Roma"/>
          <w:sz w:val="28"/>
          <w:szCs w:val="28"/>
        </w:rPr>
        <w:t xml:space="preserve">nodes, milk, and fetal </w:t>
      </w:r>
      <w:proofErr w:type="spellStart"/>
      <w:r>
        <w:rPr>
          <w:rFonts w:ascii="URWPalladioL-Roma" w:hAnsi="URWPalladioL-Roma" w:cs="URWPalladioL-Roma"/>
          <w:sz w:val="28"/>
          <w:szCs w:val="28"/>
        </w:rPr>
        <w:t>abomasal</w:t>
      </w:r>
      <w:proofErr w:type="spellEnd"/>
      <w:r>
        <w:rPr>
          <w:rFonts w:ascii="URWPalladioL-Roma" w:hAnsi="URWPalladioL-Roma" w:cs="URWPalladioL-Roma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>contents of infected cattle, bu</w:t>
      </w:r>
      <w:r>
        <w:rPr>
          <w:rFonts w:ascii="URWPalladioL-Roma" w:hAnsi="URWPalladioL-Roma" w:cs="URWPalladioL-Roma"/>
          <w:sz w:val="28"/>
          <w:szCs w:val="28"/>
        </w:rPr>
        <w:t>ff</w:t>
      </w:r>
      <w:r w:rsidRPr="0036215D">
        <w:rPr>
          <w:rFonts w:ascii="URWPalladioL-Roma" w:hAnsi="URWPalladioL-Roma" w:cs="URWPalladioL-Roma"/>
          <w:sz w:val="28"/>
          <w:szCs w:val="28"/>
        </w:rPr>
        <w:t>aloes, sheep, and goats from nine distri</w:t>
      </w:r>
      <w:r>
        <w:rPr>
          <w:rFonts w:ascii="URWPalladioL-Roma" w:hAnsi="URWPalladioL-Roma" w:cs="URWPalladioL-Roma"/>
          <w:sz w:val="28"/>
          <w:szCs w:val="28"/>
        </w:rPr>
        <w:t xml:space="preserve">cts in Egypt. The isolates were </w:t>
      </w:r>
      <w:r w:rsidRPr="0036215D">
        <w:rPr>
          <w:rFonts w:ascii="URWPalladioL-Roma" w:hAnsi="URWPalladioL-Roma" w:cs="URWPalladioL-Roma"/>
          <w:sz w:val="28"/>
          <w:szCs w:val="28"/>
        </w:rPr>
        <w:t>identified by microbiological methods and matrix-assisted laser desor</w:t>
      </w:r>
      <w:r>
        <w:rPr>
          <w:rFonts w:ascii="URWPalladioL-Roma" w:hAnsi="URWPalladioL-Roma" w:cs="URWPalladioL-Roma"/>
          <w:sz w:val="28"/>
          <w:szCs w:val="28"/>
        </w:rPr>
        <w:t xml:space="preserve">ption ionization time-of-flight </w:t>
      </w:r>
      <w:r w:rsidRPr="0036215D">
        <w:rPr>
          <w:rFonts w:ascii="URWPalladioL-Roma" w:hAnsi="URWPalladioL-Roma" w:cs="URWPalladioL-Roma"/>
          <w:sz w:val="28"/>
          <w:szCs w:val="28"/>
        </w:rPr>
        <w:t>mass spectrometry (MALDI-TOF MS). Di</w:t>
      </w:r>
      <w:r>
        <w:rPr>
          <w:rFonts w:ascii="Rpxr" w:hAnsi="Rpxr" w:cs="Rpxr"/>
          <w:sz w:val="28"/>
          <w:szCs w:val="28"/>
        </w:rPr>
        <w:t>ff</w:t>
      </w:r>
      <w:r w:rsidRPr="0036215D">
        <w:rPr>
          <w:rFonts w:ascii="URWPalladioL-Roma" w:hAnsi="URWPalladioL-Roma" w:cs="URWPalladioL-Roma"/>
          <w:sz w:val="28"/>
          <w:szCs w:val="28"/>
        </w:rPr>
        <w:t>erentiation and genotyping</w:t>
      </w:r>
      <w:r>
        <w:rPr>
          <w:rFonts w:ascii="URWPalladioL-Roma" w:hAnsi="URWPalladioL-Roma" w:cs="URWPalladioL-Roma"/>
          <w:sz w:val="28"/>
          <w:szCs w:val="28"/>
        </w:rPr>
        <w:t xml:space="preserve"> were confirmed using multiplex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PCR for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abortus</w:t>
      </w:r>
      <w:r w:rsidRPr="0036215D">
        <w:rPr>
          <w:rFonts w:ascii="URWPalladioL-Roma" w:hAnsi="URWPalladioL-Roma" w:cs="URWPalladioL-Roma"/>
          <w:i/>
          <w:iCs/>
          <w:sz w:val="28"/>
          <w:szCs w:val="28"/>
        </w:rPr>
        <w:t xml:space="preserve">,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Brucella melitensis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,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 xml:space="preserve">Brucella </w:t>
      </w:r>
      <w:proofErr w:type="spellStart"/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ovis</w:t>
      </w:r>
      <w:proofErr w:type="spellEnd"/>
      <w:r w:rsidRPr="0036215D">
        <w:rPr>
          <w:rFonts w:ascii="URWPalladioL-Roma" w:hAnsi="URWPalladioL-Roma" w:cs="URWPalladioL-Roma"/>
          <w:sz w:val="28"/>
          <w:szCs w:val="28"/>
        </w:rPr>
        <w:t xml:space="preserve">, and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 xml:space="preserve">Brucella </w:t>
      </w:r>
      <w:proofErr w:type="spellStart"/>
      <w:proofErr w:type="gramStart"/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suis</w:t>
      </w:r>
      <w:proofErr w:type="spellEnd"/>
      <w:proofErr w:type="gramEnd"/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>
        <w:rPr>
          <w:rFonts w:ascii="URWPalladioL-Roma" w:hAnsi="URWPalladioL-Roma" w:cs="URWPalladioL-Roma"/>
          <w:sz w:val="28"/>
          <w:szCs w:val="28"/>
        </w:rPr>
        <w:t xml:space="preserve">(AMOS) and Bruce-ladder PCR. </w:t>
      </w:r>
      <w:r w:rsidRPr="0036215D">
        <w:rPr>
          <w:rFonts w:ascii="URWPalladioL-Roma" w:hAnsi="URWPalladioL-Roma" w:cs="URWPalladioL-Roma"/>
          <w:sz w:val="28"/>
          <w:szCs w:val="28"/>
        </w:rPr>
        <w:t>Antimicrobial susceptibility testing against clinically used antimic</w:t>
      </w:r>
      <w:r>
        <w:rPr>
          <w:rFonts w:ascii="URWPalladioL-Roma" w:hAnsi="URWPalladioL-Roma" w:cs="URWPalladioL-Roma"/>
          <w:sz w:val="28"/>
          <w:szCs w:val="28"/>
        </w:rPr>
        <w:t xml:space="preserve">robial agents (chloramphenicol, </w:t>
      </w:r>
      <w:r w:rsidRPr="0036215D">
        <w:rPr>
          <w:rFonts w:ascii="URWPalladioL-Roma" w:hAnsi="URWPalladioL-Roma" w:cs="URWPalladioL-Roma"/>
          <w:sz w:val="28"/>
          <w:szCs w:val="28"/>
        </w:rPr>
        <w:t>ciprofloxacin, erythromycin, gentamicin, imipenem, rifampicin, stre</w:t>
      </w:r>
      <w:r>
        <w:rPr>
          <w:rFonts w:ascii="URWPalladioL-Roma" w:hAnsi="URWPalladioL-Roma" w:cs="URWPalladioL-Roma"/>
          <w:sz w:val="28"/>
          <w:szCs w:val="28"/>
        </w:rPr>
        <w:t xml:space="preserve">ptomycin, and tetracycline) was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performed using E-Test. The antimicrobial resistance-associated genes and mutations in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Brucella</w:t>
      </w:r>
      <w:r>
        <w:rPr>
          <w:rFonts w:ascii="URWPalladioL-Roma" w:hAnsi="URWPalladioL-Roma" w:cs="URWPalladioL-Roma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isolates were confirmed using molecular tools. In total, 29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Brucella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isolates (eight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abortus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proofErr w:type="spellStart"/>
      <w:r>
        <w:rPr>
          <w:rFonts w:ascii="URWPalladioL-Roma" w:hAnsi="URWPalladioL-Roma" w:cs="URWPalladioL-Roma"/>
          <w:sz w:val="28"/>
          <w:szCs w:val="28"/>
        </w:rPr>
        <w:t>biovar</w:t>
      </w:r>
      <w:proofErr w:type="spellEnd"/>
      <w:r>
        <w:rPr>
          <w:rFonts w:ascii="URWPalladioL-Roma" w:hAnsi="URWPalladioL-Roma" w:cs="URWPalladioL-Roma"/>
          <w:sz w:val="28"/>
          <w:szCs w:val="28"/>
        </w:rPr>
        <w:t xml:space="preserve"> 1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and 21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melitensis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proofErr w:type="spellStart"/>
      <w:r w:rsidRPr="0036215D">
        <w:rPr>
          <w:rFonts w:ascii="URWPalladioL-Roma" w:hAnsi="URWPalladioL-Roma" w:cs="URWPalladioL-Roma"/>
          <w:sz w:val="28"/>
          <w:szCs w:val="28"/>
        </w:rPr>
        <w:t>biovar</w:t>
      </w:r>
      <w:proofErr w:type="spellEnd"/>
      <w:r w:rsidRPr="0036215D">
        <w:rPr>
          <w:rFonts w:ascii="URWPalladioL-Roma" w:hAnsi="URWPalladioL-Roma" w:cs="URWPalladioL-Roma"/>
          <w:sz w:val="28"/>
          <w:szCs w:val="28"/>
        </w:rPr>
        <w:t xml:space="preserve"> 3) were identified and typed. The resistance of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melitensis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>
        <w:rPr>
          <w:rFonts w:ascii="URWPalladioL-Roma" w:hAnsi="URWPalladioL-Roma" w:cs="URWPalladioL-Roma"/>
          <w:sz w:val="28"/>
          <w:szCs w:val="28"/>
        </w:rPr>
        <w:t xml:space="preserve">to ciprofloxacin, </w:t>
      </w:r>
      <w:r w:rsidRPr="0036215D">
        <w:rPr>
          <w:rFonts w:ascii="URWPalladioL-Roma" w:hAnsi="URWPalladioL-Roma" w:cs="URWPalladioL-Roma"/>
          <w:sz w:val="28"/>
          <w:szCs w:val="28"/>
        </w:rPr>
        <w:t>erythromycin, imipenem, rifampicin, and streptomycin were 76.2%,</w:t>
      </w:r>
      <w:r>
        <w:rPr>
          <w:rFonts w:ascii="URWPalladioL-Roma" w:hAnsi="URWPalladioL-Roma" w:cs="URWPalladioL-Roma"/>
          <w:sz w:val="28"/>
          <w:szCs w:val="28"/>
        </w:rPr>
        <w:t xml:space="preserve"> 19.0%, 76.2%, 66.7%, and 4.8%,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respectively. Whereas, 25.0%, 87.5%, 25.0%, and 37.5% of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abortus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>w</w:t>
      </w:r>
      <w:r>
        <w:rPr>
          <w:rFonts w:ascii="URWPalladioL-Roma" w:hAnsi="URWPalladioL-Roma" w:cs="URWPalladioL-Roma"/>
          <w:sz w:val="28"/>
          <w:szCs w:val="28"/>
        </w:rPr>
        <w:t xml:space="preserve">ere resistant to ciprofloxacin,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erythromycin, imipenem, and rifampicin, respectively. Mutations in the </w:t>
      </w:r>
      <w:proofErr w:type="spellStart"/>
      <w:r w:rsidRPr="0036215D">
        <w:rPr>
          <w:rFonts w:ascii="URWPalladioL-Ital" w:hAnsi="URWPalladioL-Ital" w:cs="URWPalladioL-Ital"/>
          <w:sz w:val="28"/>
          <w:szCs w:val="28"/>
        </w:rPr>
        <w:t>rpo</w:t>
      </w:r>
      <w:r>
        <w:rPr>
          <w:rFonts w:ascii="URWPalladioL-Roma" w:hAnsi="URWPalladioL-Roma" w:cs="URWPalladioL-Roma"/>
          <w:sz w:val="28"/>
          <w:szCs w:val="28"/>
        </w:rPr>
        <w:t>B</w:t>
      </w:r>
      <w:proofErr w:type="spellEnd"/>
      <w:r>
        <w:rPr>
          <w:rFonts w:ascii="URWPalladioL-Roma" w:hAnsi="URWPalladioL-Roma" w:cs="URWPalladioL-Roma"/>
          <w:sz w:val="28"/>
          <w:szCs w:val="28"/>
        </w:rPr>
        <w:t xml:space="preserve"> gene associated with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rifampicin resistance were identified in all phenotypically resistant isolates. Mutations in </w:t>
      </w:r>
      <w:proofErr w:type="spellStart"/>
      <w:r w:rsidRPr="0036215D">
        <w:rPr>
          <w:rFonts w:ascii="URWPalladioL-Ital" w:hAnsi="URWPalladioL-Ital" w:cs="URWPalladioL-Ital"/>
          <w:sz w:val="28"/>
          <w:szCs w:val="28"/>
        </w:rPr>
        <w:t>gyr</w:t>
      </w:r>
      <w:r>
        <w:rPr>
          <w:rFonts w:ascii="URWPalladioL-Roma" w:hAnsi="URWPalladioL-Roma" w:cs="URWPalladioL-Roma"/>
          <w:sz w:val="28"/>
          <w:szCs w:val="28"/>
        </w:rPr>
        <w:t>A</w:t>
      </w:r>
      <w:proofErr w:type="spellEnd"/>
      <w:r>
        <w:rPr>
          <w:rFonts w:ascii="URWPalladioL-Roma" w:hAnsi="URWPalladioL-Roma" w:cs="URWPalladioL-Roma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and </w:t>
      </w:r>
      <w:proofErr w:type="spellStart"/>
      <w:r w:rsidRPr="0036215D">
        <w:rPr>
          <w:rFonts w:ascii="URWPalladioL-Ital" w:hAnsi="URWPalladioL-Ital" w:cs="URWPalladioL-Ital"/>
          <w:sz w:val="28"/>
          <w:szCs w:val="28"/>
        </w:rPr>
        <w:t>gyr</w:t>
      </w:r>
      <w:r w:rsidRPr="0036215D">
        <w:rPr>
          <w:rFonts w:ascii="URWPalladioL-Roma" w:hAnsi="URWPalladioL-Roma" w:cs="URWPalladioL-Roma"/>
          <w:sz w:val="28"/>
          <w:szCs w:val="28"/>
        </w:rPr>
        <w:t>B</w:t>
      </w:r>
      <w:proofErr w:type="spellEnd"/>
      <w:r w:rsidRPr="0036215D">
        <w:rPr>
          <w:rFonts w:ascii="URWPalladioL-Roma" w:hAnsi="URWPalladioL-Roma" w:cs="URWPalladioL-Roma"/>
          <w:sz w:val="28"/>
          <w:szCs w:val="28"/>
        </w:rPr>
        <w:t xml:space="preserve"> genes associated with ciprofloxacin resistance were id</w:t>
      </w:r>
      <w:r>
        <w:rPr>
          <w:rFonts w:ascii="URWPalladioL-Roma" w:hAnsi="URWPalladioL-Roma" w:cs="URWPalladioL-Roma"/>
          <w:sz w:val="28"/>
          <w:szCs w:val="28"/>
        </w:rPr>
        <w:t xml:space="preserve">entified in four phenotypically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resistant isolates of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melitensis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. This is the first study highlighting </w:t>
      </w:r>
      <w:r>
        <w:rPr>
          <w:rFonts w:ascii="URWPalladioL-Roma" w:hAnsi="URWPalladioL-Roma" w:cs="URWPalladioL-Roma"/>
          <w:sz w:val="28"/>
          <w:szCs w:val="28"/>
        </w:rPr>
        <w:t xml:space="preserve">the antimicrobial resistance in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Brucella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 w:rsidRPr="0036215D">
        <w:rPr>
          <w:rFonts w:ascii="URWPalladioL-Roma" w:hAnsi="URWPalladioL-Roma" w:cs="URWPalladioL-Roma"/>
          <w:sz w:val="28"/>
          <w:szCs w:val="28"/>
        </w:rPr>
        <w:t>isolated from di</w:t>
      </w:r>
      <w:r>
        <w:rPr>
          <w:rFonts w:ascii="Rpxr" w:hAnsi="Rpxr" w:cs="Rpxr"/>
          <w:sz w:val="28"/>
          <w:szCs w:val="28"/>
        </w:rPr>
        <w:t>ff</w:t>
      </w:r>
      <w:r w:rsidRPr="0036215D">
        <w:rPr>
          <w:rFonts w:ascii="URWPalladioL-Roma" w:hAnsi="URWPalladioL-Roma" w:cs="URWPalladioL-Roma"/>
          <w:sz w:val="28"/>
          <w:szCs w:val="28"/>
        </w:rPr>
        <w:t>erent animal species in Egypt. Mutations de</w:t>
      </w:r>
      <w:r>
        <w:rPr>
          <w:rFonts w:ascii="URWPalladioL-Roma" w:hAnsi="URWPalladioL-Roma" w:cs="URWPalladioL-Roma"/>
          <w:sz w:val="28"/>
          <w:szCs w:val="28"/>
        </w:rPr>
        <w:t xml:space="preserve">tected in genes associated with </w:t>
      </w:r>
      <w:r w:rsidRPr="0036215D">
        <w:rPr>
          <w:rFonts w:ascii="URWPalladioL-Roma" w:hAnsi="URWPalladioL-Roma" w:cs="URWPalladioL-Roma"/>
          <w:sz w:val="28"/>
          <w:szCs w:val="28"/>
        </w:rPr>
        <w:t>antimicrobial resistance unravel the molecular me</w:t>
      </w:r>
      <w:r>
        <w:rPr>
          <w:rFonts w:ascii="URWPalladioL-Roma" w:hAnsi="URWPalladioL-Roma" w:cs="URWPalladioL-Roma"/>
          <w:sz w:val="28"/>
          <w:szCs w:val="28"/>
        </w:rPr>
        <w:t xml:space="preserve">chanisms of resistance in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Brucella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>
        <w:rPr>
          <w:rFonts w:ascii="URWPalladioL-Roma" w:hAnsi="URWPalladioL-Roma" w:cs="URWPalladioL-Roma"/>
          <w:sz w:val="28"/>
          <w:szCs w:val="28"/>
        </w:rPr>
        <w:t xml:space="preserve">isolates from </w:t>
      </w:r>
      <w:r w:rsidRPr="0036215D">
        <w:rPr>
          <w:rFonts w:ascii="URWPalladioL-Roma" w:hAnsi="URWPalladioL-Roma" w:cs="URWPalladioL-Roma"/>
          <w:sz w:val="28"/>
          <w:szCs w:val="28"/>
        </w:rPr>
        <w:t xml:space="preserve">Egypt. The mutations in the </w:t>
      </w:r>
      <w:proofErr w:type="spellStart"/>
      <w:r w:rsidRPr="0036215D">
        <w:rPr>
          <w:rFonts w:ascii="URWPalladioL-Ital" w:hAnsi="URWPalladioL-Ital" w:cs="URWPalladioL-Ital"/>
          <w:sz w:val="28"/>
          <w:szCs w:val="28"/>
        </w:rPr>
        <w:t>rpo</w:t>
      </w:r>
      <w:r w:rsidRPr="0036215D">
        <w:rPr>
          <w:rFonts w:ascii="URWPalladioL-Roma" w:hAnsi="URWPalladioL-Roma" w:cs="URWPalladioL-Roma"/>
          <w:sz w:val="28"/>
          <w:szCs w:val="28"/>
        </w:rPr>
        <w:t>B</w:t>
      </w:r>
      <w:proofErr w:type="spellEnd"/>
      <w:r w:rsidRPr="0036215D">
        <w:rPr>
          <w:rFonts w:ascii="URWPalladioL-Roma" w:hAnsi="URWPalladioL-Roma" w:cs="URWPalladioL-Roma"/>
          <w:sz w:val="28"/>
          <w:szCs w:val="28"/>
        </w:rPr>
        <w:t xml:space="preserve"> gene in phenotypically resistant </w:t>
      </w:r>
      <w:r w:rsidRPr="0036215D">
        <w:rPr>
          <w:rFonts w:ascii="URWPalladioL-Ital" w:hAnsi="URWPalladioL-Ital" w:cs="URWPalladioL-Ital"/>
          <w:i/>
          <w:iCs/>
          <w:sz w:val="28"/>
          <w:szCs w:val="28"/>
        </w:rPr>
        <w:t>B. abortus</w:t>
      </w:r>
      <w:r w:rsidRPr="0036215D">
        <w:rPr>
          <w:rFonts w:ascii="URWPalladioL-Ital" w:hAnsi="URWPalladioL-Ital" w:cs="URWPalladioL-Ital"/>
          <w:sz w:val="28"/>
          <w:szCs w:val="28"/>
        </w:rPr>
        <w:t xml:space="preserve"> </w:t>
      </w:r>
      <w:r>
        <w:rPr>
          <w:rFonts w:ascii="URWPalladioL-Roma" w:hAnsi="URWPalladioL-Roma" w:cs="URWPalladioL-Roma"/>
          <w:sz w:val="28"/>
          <w:szCs w:val="28"/>
        </w:rPr>
        <w:t xml:space="preserve">isolates in this study </w:t>
      </w:r>
      <w:r w:rsidRPr="0036215D">
        <w:rPr>
          <w:rFonts w:ascii="URWPalladioL-Roma" w:hAnsi="URWPalladioL-Roma" w:cs="URWPalladioL-Roma"/>
          <w:sz w:val="28"/>
          <w:szCs w:val="28"/>
        </w:rPr>
        <w:t>were report</w:t>
      </w:r>
      <w:r w:rsidRPr="0036215D">
        <w:rPr>
          <w:rFonts w:ascii="URWPalladioL-Roma" w:hAnsi="URWPalladioL-Roma" w:cs="URWPalladioL-Roma"/>
          <w:sz w:val="28"/>
          <w:szCs w:val="28"/>
        </w:rPr>
        <w:t>ed for the first time in Egypt.</w:t>
      </w:r>
    </w:p>
    <w:sectPr w:rsidR="00292B96" w:rsidRPr="0036215D" w:rsidSect="006D003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Bold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px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8B"/>
    <w:rsid w:val="001555CB"/>
    <w:rsid w:val="00250AC9"/>
    <w:rsid w:val="0036215D"/>
    <w:rsid w:val="0042378B"/>
    <w:rsid w:val="006D0038"/>
    <w:rsid w:val="00BD532B"/>
    <w:rsid w:val="00E5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85EDC-A724-498C-8CD5-6FB4205F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ESCA</dc:creator>
  <cp:keywords/>
  <dc:description/>
  <cp:lastModifiedBy>ESCA</cp:lastModifiedBy>
  <cp:revision>5</cp:revision>
  <dcterms:created xsi:type="dcterms:W3CDTF">2019-12-10T22:08:00Z</dcterms:created>
  <dcterms:modified xsi:type="dcterms:W3CDTF">2019-12-10T22:26:00Z</dcterms:modified>
</cp:coreProperties>
</file>