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075" w:rsidRDefault="004B6075" w:rsidP="004B6075">
      <w:pPr>
        <w:pStyle w:val="BodyText"/>
        <w:spacing w:before="73" w:line="198" w:lineRule="exact"/>
        <w:ind w:right="-83"/>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ESTROUS CYCLE LENGTH </w:t>
      </w:r>
      <w:r w:rsidRPr="004B6075">
        <w:rPr>
          <w:rFonts w:ascii="Minion Pro" w:eastAsia="Minion Pro" w:hAnsi="Minion Pro" w:cs="Minion Pro"/>
          <w:b/>
          <w:bCs/>
          <w:color w:val="337AB7"/>
          <w:sz w:val="36"/>
          <w:szCs w:val="36"/>
        </w:rPr>
        <w:t>AND ASSOCIATED BLOOD PROFILE LEVEL</w:t>
      </w:r>
    </w:p>
    <w:p w:rsidR="004B6075" w:rsidRDefault="004B6075" w:rsidP="004B6075">
      <w:pPr>
        <w:pStyle w:val="BodyText"/>
        <w:spacing w:before="73" w:line="198" w:lineRule="exact"/>
        <w:ind w:left="100" w:right="-83"/>
        <w:rPr>
          <w:rFonts w:ascii="Minion Pro" w:eastAsia="Minion Pro" w:hAnsi="Minion Pro" w:cs="Minion Pro"/>
          <w:b/>
          <w:bCs/>
          <w:color w:val="337AB7"/>
          <w:sz w:val="36"/>
          <w:szCs w:val="36"/>
        </w:rPr>
      </w:pPr>
    </w:p>
    <w:p w:rsidR="004B6075" w:rsidRPr="004B6075" w:rsidRDefault="004B6075" w:rsidP="004B6075">
      <w:pPr>
        <w:pStyle w:val="BodyText"/>
        <w:spacing w:before="73" w:line="198" w:lineRule="exact"/>
        <w:ind w:right="-83"/>
        <w:rPr>
          <w:rFonts w:ascii="Minion Pro" w:eastAsia="Minion Pro" w:hAnsi="Minion Pro" w:cs="Minion Pro"/>
          <w:b/>
          <w:bCs/>
          <w:color w:val="337AB7"/>
          <w:sz w:val="36"/>
          <w:szCs w:val="36"/>
        </w:rPr>
      </w:pPr>
      <w:r w:rsidRPr="004B6075">
        <w:rPr>
          <w:rFonts w:ascii="Minion Pro" w:eastAsia="Minion Pro" w:hAnsi="Minion Pro" w:cs="Minion Pro"/>
          <w:b/>
          <w:bCs/>
          <w:color w:val="337AB7"/>
          <w:sz w:val="36"/>
          <w:szCs w:val="36"/>
        </w:rPr>
        <w:t>IN SAANEN ETTAWAH CROSSBREED</w:t>
      </w:r>
    </w:p>
    <w:p w:rsidR="004B6075" w:rsidRDefault="004B6075" w:rsidP="004B6075">
      <w:pPr>
        <w:jc w:val="both"/>
        <w:rPr>
          <w:rFonts w:ascii="Times New Roman" w:hAnsi="Times New Roman" w:cs="Times New Roman"/>
          <w:sz w:val="24"/>
          <w:szCs w:val="24"/>
        </w:rPr>
      </w:pPr>
    </w:p>
    <w:p w:rsidR="00DE40B0" w:rsidRDefault="004B6075" w:rsidP="00DE40B0">
      <w:pPr>
        <w:spacing w:line="276" w:lineRule="auto"/>
        <w:jc w:val="both"/>
        <w:rPr>
          <w:rFonts w:ascii="Times New Roman" w:hAnsi="Times New Roman" w:cs="Times New Roman"/>
          <w:sz w:val="24"/>
          <w:szCs w:val="24"/>
        </w:rPr>
      </w:pPr>
      <w:r w:rsidRPr="001E476C">
        <w:rPr>
          <w:rFonts w:ascii="Times New Roman" w:hAnsi="Times New Roman" w:cs="Times New Roman"/>
          <w:sz w:val="24"/>
          <w:szCs w:val="24"/>
        </w:rPr>
        <w:t>Pradita Iustitia Sitaresmi,</w:t>
      </w:r>
      <w:r w:rsidRPr="008001D5">
        <w:rPr>
          <w:rFonts w:ascii="Times New Roman" w:hAnsi="Times New Roman" w:cs="Times New Roman"/>
          <w:sz w:val="24"/>
          <w:szCs w:val="24"/>
        </w:rPr>
        <w:t xml:space="preserve"> </w:t>
      </w:r>
      <w:r w:rsidRPr="001E476C">
        <w:rPr>
          <w:rFonts w:ascii="Times New Roman" w:hAnsi="Times New Roman" w:cs="Times New Roman"/>
          <w:sz w:val="24"/>
          <w:szCs w:val="24"/>
        </w:rPr>
        <w:t xml:space="preserve">Department of Animal Genetic and Reproduction, </w:t>
      </w:r>
      <w:r w:rsidR="00DE40B0" w:rsidRPr="001E476C">
        <w:rPr>
          <w:rFonts w:ascii="Times New Roman" w:hAnsi="Times New Roman" w:cs="Times New Roman"/>
          <w:sz w:val="24"/>
          <w:szCs w:val="24"/>
        </w:rPr>
        <w:t>Faculty of Animal Science</w:t>
      </w:r>
      <w:r w:rsidR="00DE40B0">
        <w:rPr>
          <w:rFonts w:ascii="Times New Roman" w:hAnsi="Times New Roman" w:cs="Times New Roman"/>
          <w:sz w:val="24"/>
          <w:szCs w:val="24"/>
        </w:rPr>
        <w:t>, UGM</w:t>
      </w:r>
    </w:p>
    <w:p w:rsidR="004B6075" w:rsidRPr="00DE40B0" w:rsidRDefault="004B6075" w:rsidP="00DE40B0">
      <w:pPr>
        <w:spacing w:line="276" w:lineRule="auto"/>
        <w:jc w:val="both"/>
        <w:rPr>
          <w:rFonts w:ascii="Times New Roman" w:hAnsi="Times New Roman" w:cs="Times New Roman"/>
          <w:sz w:val="24"/>
          <w:szCs w:val="24"/>
          <w:u w:val="single"/>
        </w:rPr>
      </w:pPr>
      <w:r w:rsidRPr="00921F1E">
        <w:rPr>
          <w:rFonts w:ascii="Times New Roman" w:hAnsi="Times New Roman" w:cs="Times New Roman"/>
          <w:sz w:val="24"/>
          <w:szCs w:val="24"/>
        </w:rPr>
        <w:t>Budi</w:t>
      </w:r>
      <w:r>
        <w:rPr>
          <w:rFonts w:ascii="Times New Roman" w:hAnsi="Times New Roman" w:cs="Times New Roman"/>
          <w:sz w:val="24"/>
          <w:szCs w:val="24"/>
        </w:rPr>
        <w:t xml:space="preserve"> Prasetyo Widyobroto, </w:t>
      </w:r>
      <w:r w:rsidRPr="001E476C">
        <w:rPr>
          <w:rFonts w:ascii="Times New Roman" w:hAnsi="Times New Roman" w:cs="Times New Roman"/>
          <w:sz w:val="24"/>
          <w:szCs w:val="24"/>
        </w:rPr>
        <w:t xml:space="preserve">Department of Animal Production, </w:t>
      </w:r>
      <w:r w:rsidR="00DE40B0" w:rsidRPr="001E476C">
        <w:rPr>
          <w:rFonts w:ascii="Times New Roman" w:hAnsi="Times New Roman" w:cs="Times New Roman"/>
          <w:sz w:val="24"/>
          <w:szCs w:val="24"/>
        </w:rPr>
        <w:t>Faculty of Animal Science</w:t>
      </w:r>
      <w:r w:rsidR="00DE40B0">
        <w:rPr>
          <w:rFonts w:ascii="Times New Roman" w:hAnsi="Times New Roman" w:cs="Times New Roman"/>
          <w:sz w:val="24"/>
          <w:szCs w:val="24"/>
        </w:rPr>
        <w:t>, UGM</w:t>
      </w:r>
    </w:p>
    <w:p w:rsidR="004B6075" w:rsidRDefault="004B6075" w:rsidP="00DE40B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Sigit Bintara, </w:t>
      </w:r>
      <w:r w:rsidRPr="001E476C">
        <w:rPr>
          <w:rFonts w:ascii="Times New Roman" w:hAnsi="Times New Roman" w:cs="Times New Roman"/>
          <w:sz w:val="24"/>
          <w:szCs w:val="24"/>
        </w:rPr>
        <w:t xml:space="preserve">Department of Animal Genetic and Reproduction, </w:t>
      </w:r>
      <w:r w:rsidR="00DE40B0" w:rsidRPr="001E476C">
        <w:rPr>
          <w:rFonts w:ascii="Times New Roman" w:hAnsi="Times New Roman" w:cs="Times New Roman"/>
          <w:sz w:val="24"/>
          <w:szCs w:val="24"/>
        </w:rPr>
        <w:t>Faculty of Animal Science</w:t>
      </w:r>
      <w:r w:rsidR="00DE40B0">
        <w:rPr>
          <w:rFonts w:ascii="Times New Roman" w:hAnsi="Times New Roman" w:cs="Times New Roman"/>
          <w:sz w:val="24"/>
          <w:szCs w:val="24"/>
        </w:rPr>
        <w:t>, UGM</w:t>
      </w:r>
    </w:p>
    <w:p w:rsidR="00DE40B0" w:rsidRDefault="00DE40B0" w:rsidP="00DE40B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Yuni Suranindyah, </w:t>
      </w:r>
      <w:r w:rsidRPr="001E476C">
        <w:rPr>
          <w:rFonts w:ascii="Times New Roman" w:hAnsi="Times New Roman" w:cs="Times New Roman"/>
          <w:sz w:val="24"/>
          <w:szCs w:val="24"/>
        </w:rPr>
        <w:t>Department of Animal Production, Faculty of Animal Science</w:t>
      </w:r>
      <w:r>
        <w:rPr>
          <w:rFonts w:ascii="Times New Roman" w:hAnsi="Times New Roman" w:cs="Times New Roman"/>
          <w:sz w:val="24"/>
          <w:szCs w:val="24"/>
        </w:rPr>
        <w:t>, UGM</w:t>
      </w:r>
    </w:p>
    <w:p w:rsidR="00DE40B0" w:rsidRPr="00DE40B0" w:rsidRDefault="00DE40B0" w:rsidP="00DE40B0">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 xml:space="preserve">Putri Kusuma Astuti, </w:t>
      </w:r>
      <w:r w:rsidRPr="001E476C">
        <w:rPr>
          <w:rFonts w:ascii="Times New Roman" w:hAnsi="Times New Roman" w:cs="Times New Roman"/>
          <w:sz w:val="24"/>
          <w:szCs w:val="24"/>
        </w:rPr>
        <w:t>Department of Animal Genetic and Reproduction, Faculty of Animal Science</w:t>
      </w:r>
      <w:r>
        <w:rPr>
          <w:rFonts w:ascii="Times New Roman" w:hAnsi="Times New Roman" w:cs="Times New Roman"/>
          <w:sz w:val="24"/>
          <w:szCs w:val="24"/>
        </w:rPr>
        <w:t>, UGM</w:t>
      </w:r>
    </w:p>
    <w:p w:rsidR="004B6075" w:rsidRPr="001E476C" w:rsidRDefault="004B6075" w:rsidP="00DE40B0">
      <w:pPr>
        <w:spacing w:line="276" w:lineRule="auto"/>
        <w:jc w:val="both"/>
        <w:rPr>
          <w:rFonts w:ascii="Times New Roman" w:hAnsi="Times New Roman" w:cs="Times New Roman"/>
          <w:sz w:val="24"/>
          <w:szCs w:val="24"/>
          <w:vertAlign w:val="superscript"/>
        </w:rPr>
      </w:pPr>
      <w:r w:rsidRPr="0021617C">
        <w:rPr>
          <w:rFonts w:ascii="Times New Roman" w:hAnsi="Times New Roman" w:cs="Times New Roman"/>
          <w:sz w:val="24"/>
          <w:szCs w:val="24"/>
        </w:rPr>
        <w:t>Diah</w:t>
      </w:r>
      <w:r w:rsidRPr="001E476C">
        <w:rPr>
          <w:rFonts w:ascii="Times New Roman" w:hAnsi="Times New Roman" w:cs="Times New Roman"/>
          <w:sz w:val="24"/>
          <w:szCs w:val="24"/>
        </w:rPr>
        <w:t xml:space="preserve"> Tri Widayat</w:t>
      </w:r>
      <w:r>
        <w:rPr>
          <w:rFonts w:ascii="Times New Roman" w:hAnsi="Times New Roman" w:cs="Times New Roman"/>
          <w:sz w:val="24"/>
          <w:szCs w:val="24"/>
        </w:rPr>
        <w:t xml:space="preserve">i, </w:t>
      </w:r>
      <w:r w:rsidRPr="001E476C">
        <w:rPr>
          <w:rFonts w:ascii="Times New Roman" w:hAnsi="Times New Roman" w:cs="Times New Roman"/>
          <w:sz w:val="24"/>
          <w:szCs w:val="24"/>
        </w:rPr>
        <w:t xml:space="preserve">Department of Animal Genetic and Reproduction, Faculty of Animal Science </w:t>
      </w:r>
      <w:r w:rsidR="00DE40B0">
        <w:rPr>
          <w:rFonts w:ascii="Times New Roman" w:hAnsi="Times New Roman" w:cs="Times New Roman"/>
          <w:sz w:val="24"/>
          <w:szCs w:val="24"/>
        </w:rPr>
        <w:t>UGM</w:t>
      </w:r>
      <w:bookmarkStart w:id="0" w:name="_GoBack"/>
      <w:bookmarkEnd w:id="0"/>
    </w:p>
    <w:p w:rsidR="00AE3E37" w:rsidRDefault="00AE3E37" w:rsidP="00DE40B0">
      <w:pPr>
        <w:pStyle w:val="BodyText"/>
        <w:jc w:val="both"/>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B6075">
          <w:headerReference w:type="default" r:id="rId8"/>
          <w:footerReference w:type="default" r:id="rId9"/>
          <w:type w:val="continuous"/>
          <w:pgSz w:w="11910" w:h="16840"/>
          <w:pgMar w:top="1741" w:right="601" w:bottom="839" w:left="618" w:header="539" w:footer="641" w:gutter="0"/>
          <w:cols w:space="720"/>
        </w:sectPr>
      </w:pPr>
    </w:p>
    <w:p w:rsidR="00AE3E37" w:rsidRDefault="00A9710C">
      <w:pPr>
        <w:pStyle w:val="Heading3"/>
        <w:spacing w:before="147"/>
        <w:jc w:val="both"/>
      </w:pPr>
      <w:r>
        <w:rPr>
          <w:color w:val="BF5A14"/>
        </w:rPr>
        <w:t>Abstract</w:t>
      </w:r>
      <w:r w:rsidR="00404E5B">
        <w:rPr>
          <w:color w:val="BF5A14"/>
        </w:rPr>
        <w:t xml:space="preserve"> </w:t>
      </w:r>
    </w:p>
    <w:p w:rsidR="004B6075" w:rsidRPr="004B6075" w:rsidRDefault="004B6075" w:rsidP="004B6075">
      <w:pPr>
        <w:pStyle w:val="BodyText"/>
        <w:spacing w:before="90" w:line="280" w:lineRule="auto"/>
        <w:ind w:left="100"/>
        <w:jc w:val="both"/>
      </w:pPr>
      <w:r w:rsidRPr="004B6075">
        <w:t xml:space="preserve">The aims of the present study were to identify the hormonal and blood metabolite profiles of Saanen-Etawah cross-breed does (SECD) which has short estrous cycle (SEC) and normal estrous cycle (NEC). The study was conducted on a total of 8 SECD. The does were divided into 2 groups comprising 4 animals each, according to length of estrous cycle: SEC ( &lt;17 days) and NEC (17-19 days). The does were raised in local farmer located in Sleman, Yogyakarta. The blood sample was collected from the jugular vein in the morning before feeding. The blood collection was done in each phase of the estrous cycle. The steroid hormones were determined for estrogen and progesterone level in blood serum using hormonal kits. The blood chemistry profiles were determined for glucose, albumin, cholesterol, and urea using </w:t>
      </w:r>
      <w:r w:rsidRPr="004B6075">
        <w:rPr>
          <w:lang w:val="en-GB"/>
        </w:rPr>
        <w:t>a Microlab 300 spectrophotometer</w:t>
      </w:r>
      <w:r w:rsidRPr="004B6075">
        <w:t xml:space="preserve">. Estrous cycle length was determined by observing the vaginal epithelial cell using vaginal smear method, vaginal acidity and estrous symptom. The hormonal and blood biochemistry were compared between SECD with SEC and NEC using independent samples T-test method. The mean of glucose, albumin, cholesterol, blood urea, estrogen and progesterone level of does with SEC were 72.62±7.96 mg/dl, 3.68±0.59 mg/dl, 82.60±9.49 mg/dl, 0.64±7.33 mg/dl, 45.20±19.11 pg/ml and 0.09±0.06 ng/ml respectively. While the mean glucose, albumin, cholesterol, blood urea level, estrogen and progesterone of does with NEC were 68.94±10.49 mg/dl, 4.08±0.41 mg/dl, 65.17±7.70 mg/dl, 48.63±6.56 mg/dl, 46.32±16.68 pg/ml and 0.2±0.15 ng/ml respectively. The results showed that there was a significant difference (P&lt;0.05) between albumin, cholesterol and progesterone levels in SECD with SEC and NEC. The comparison between each phase of estrous cycle </w:t>
      </w:r>
      <w:r w:rsidRPr="004B6075">
        <w:t xml:space="preserve">is also done and showed that were significant difference level in each phase of the estrous cycle between SEC and NEC. The data showed significant difference of SEC and NEC (P&lt;0.05) in glucose level in proestrous, albumin level in metestrus and proestrous, cholesterol level in estrous, metestrus and proestrous and some data showed significant difference in each phase of estrous cycle using ANOVA method. In conclusion there was significant different in some blood profile and hormonal between SEC and NEC does. </w:t>
      </w:r>
    </w:p>
    <w:p w:rsidR="005973B9" w:rsidRDefault="005973B9" w:rsidP="004B6075">
      <w:pPr>
        <w:pStyle w:val="BodyText"/>
        <w:spacing w:before="90" w:line="280" w:lineRule="auto"/>
        <w:ind w:left="100"/>
        <w:jc w:val="both"/>
        <w:rPr>
          <w:rFonts w:ascii="Arial"/>
          <w:b/>
          <w:sz w:val="20"/>
        </w:rPr>
      </w:pPr>
      <w:r>
        <w:rPr>
          <w:rFonts w:ascii="Arial"/>
          <w:b/>
          <w:color w:val="BF5A14"/>
          <w:sz w:val="20"/>
        </w:rPr>
        <w:br/>
        <w:t>Recent Publications (minimum 5)</w:t>
      </w:r>
    </w:p>
    <w:p w:rsidR="005973B9" w:rsidRDefault="004B6075" w:rsidP="005973B9">
      <w:pPr>
        <w:pStyle w:val="ListParagraph"/>
        <w:numPr>
          <w:ilvl w:val="0"/>
          <w:numId w:val="3"/>
        </w:numPr>
        <w:tabs>
          <w:tab w:val="left" w:pos="384"/>
        </w:tabs>
        <w:spacing w:before="103" w:line="216" w:lineRule="exact"/>
        <w:ind w:right="138" w:hanging="283"/>
        <w:rPr>
          <w:sz w:val="18"/>
        </w:rPr>
      </w:pPr>
      <w:r>
        <w:rPr>
          <w:sz w:val="18"/>
        </w:rPr>
        <w:t>Sitaresmi (2017</w:t>
      </w:r>
      <w:r w:rsidR="005973B9">
        <w:rPr>
          <w:sz w:val="18"/>
        </w:rPr>
        <w:t xml:space="preserve">) </w:t>
      </w:r>
      <w:r>
        <w:rPr>
          <w:sz w:val="18"/>
        </w:rPr>
        <w:t>Progesterone and Biochemical Profile of Ettawa-Saanen Crossbreed Goats in Turi Area, Yogyakarta</w:t>
      </w:r>
      <w:r w:rsidR="003E3D0C">
        <w:rPr>
          <w:sz w:val="18"/>
        </w:rPr>
        <w:t>-Indonesia</w:t>
      </w:r>
      <w:r w:rsidR="005973B9" w:rsidRPr="005973B9">
        <w:rPr>
          <w:sz w:val="18"/>
        </w:rPr>
        <w:t xml:space="preserve">. </w:t>
      </w:r>
      <w:r w:rsidR="003E3D0C">
        <w:rPr>
          <w:sz w:val="18"/>
        </w:rPr>
        <w:t>International Jpurnal of Dairy Science 12(4): 289-294</w:t>
      </w:r>
    </w:p>
    <w:p w:rsidR="003E3D0C" w:rsidRPr="003E3D0C" w:rsidRDefault="003E3D0C" w:rsidP="003E3D0C">
      <w:pPr>
        <w:pStyle w:val="ListParagraph"/>
        <w:numPr>
          <w:ilvl w:val="0"/>
          <w:numId w:val="3"/>
        </w:numPr>
        <w:tabs>
          <w:tab w:val="left" w:pos="384"/>
        </w:tabs>
        <w:spacing w:line="216" w:lineRule="exact"/>
        <w:ind w:right="137" w:hanging="283"/>
        <w:rPr>
          <w:sz w:val="18"/>
          <w:lang w:val="en-ID"/>
        </w:rPr>
      </w:pPr>
      <w:r>
        <w:rPr>
          <w:sz w:val="18"/>
        </w:rPr>
        <w:t>Sitaresmi (2018</w:t>
      </w:r>
      <w:r w:rsidR="005973B9">
        <w:rPr>
          <w:sz w:val="18"/>
        </w:rPr>
        <w:t xml:space="preserve">) </w:t>
      </w:r>
      <w:r w:rsidRPr="003E3D0C">
        <w:rPr>
          <w:sz w:val="18"/>
          <w:lang w:val="en-ID"/>
        </w:rPr>
        <w:t>Exfoliative vaginal cytology and vaginal acidity profile in Ettawa-Saanen grade does</w:t>
      </w:r>
      <w:r>
        <w:rPr>
          <w:sz w:val="18"/>
          <w:lang w:val="en-ID"/>
        </w:rPr>
        <w:t>. International Journal of Pure and Applied Mathematics 118: 24</w:t>
      </w:r>
    </w:p>
    <w:p w:rsidR="005973B9" w:rsidRDefault="003E3D0C" w:rsidP="005973B9">
      <w:pPr>
        <w:pStyle w:val="ListParagraph"/>
        <w:numPr>
          <w:ilvl w:val="0"/>
          <w:numId w:val="3"/>
        </w:numPr>
        <w:tabs>
          <w:tab w:val="left" w:pos="384"/>
        </w:tabs>
        <w:spacing w:line="216" w:lineRule="exact"/>
        <w:ind w:right="138" w:hanging="283"/>
        <w:rPr>
          <w:sz w:val="18"/>
        </w:rPr>
      </w:pPr>
      <w:r>
        <w:rPr>
          <w:sz w:val="18"/>
        </w:rPr>
        <w:t>Fatet (2011) Reproductive cycle of goats. Animal Reproduction Science. 124 (34): 2119.</w:t>
      </w:r>
    </w:p>
    <w:p w:rsidR="005973B9" w:rsidRDefault="003E3D0C" w:rsidP="003E3D0C">
      <w:pPr>
        <w:pStyle w:val="ListParagraph"/>
        <w:numPr>
          <w:ilvl w:val="0"/>
          <w:numId w:val="3"/>
        </w:numPr>
        <w:tabs>
          <w:tab w:val="left" w:pos="384"/>
        </w:tabs>
        <w:spacing w:line="216" w:lineRule="exact"/>
        <w:ind w:right="138" w:hanging="283"/>
        <w:rPr>
          <w:sz w:val="18"/>
        </w:rPr>
      </w:pPr>
      <w:r>
        <w:rPr>
          <w:sz w:val="18"/>
        </w:rPr>
        <w:t>Leigh (2010). Improving the Reproduction Efficency of the goat. International Journal Morphol. 28(3): 9238</w:t>
      </w:r>
    </w:p>
    <w:p w:rsidR="003E3D0C" w:rsidRPr="003E3D0C" w:rsidRDefault="003E3D0C" w:rsidP="003E3D0C">
      <w:pPr>
        <w:pStyle w:val="ListParagraph"/>
        <w:numPr>
          <w:ilvl w:val="0"/>
          <w:numId w:val="3"/>
        </w:numPr>
        <w:tabs>
          <w:tab w:val="left" w:pos="384"/>
        </w:tabs>
        <w:spacing w:line="216" w:lineRule="exact"/>
        <w:ind w:right="138" w:hanging="283"/>
        <w:rPr>
          <w:sz w:val="18"/>
        </w:rPr>
      </w:pPr>
      <w:r>
        <w:rPr>
          <w:sz w:val="18"/>
        </w:rPr>
        <w:t xml:space="preserve">Eliktok (2012). </w:t>
      </w:r>
      <w:r w:rsidRPr="003E3D0C">
        <w:rPr>
          <w:sz w:val="18"/>
          <w:lang w:val="id-ID"/>
        </w:rPr>
        <w:t>Reference values for hematological and biochemical parameters in Saanen goats breeding in Afyonkarahisar province</w:t>
      </w:r>
      <w:r w:rsidRPr="003E3D0C">
        <w:rPr>
          <w:sz w:val="18"/>
        </w:rPr>
        <w:t xml:space="preserve"> </w:t>
      </w:r>
      <w:r w:rsidRPr="003E3D0C">
        <w:rPr>
          <w:sz w:val="18"/>
          <w:lang w:val="id-ID"/>
        </w:rPr>
        <w:t>Kocatepe</w:t>
      </w:r>
      <w:r w:rsidRPr="003E3D0C">
        <w:rPr>
          <w:sz w:val="18"/>
        </w:rPr>
        <w:t>.</w:t>
      </w:r>
      <w:r>
        <w:rPr>
          <w:sz w:val="18"/>
          <w:lang w:val="id-ID"/>
        </w:rPr>
        <w:t xml:space="preserve"> Vet J</w:t>
      </w:r>
      <w:r>
        <w:rPr>
          <w:sz w:val="18"/>
        </w:rPr>
        <w:t xml:space="preserve">. </w:t>
      </w:r>
      <w:r w:rsidRPr="003E3D0C">
        <w:rPr>
          <w:sz w:val="18"/>
          <w:lang w:val="id-ID"/>
        </w:rPr>
        <w:t>5 (1): 7 – 11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7B1E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A70CA4">
      <w:pPr>
        <w:spacing w:before="41" w:line="154" w:lineRule="exact"/>
        <w:ind w:left="213" w:right="231"/>
        <w:jc w:val="both"/>
        <w:rPr>
          <w:rFonts w:ascii="Arial"/>
          <w:sz w:val="14"/>
        </w:rPr>
      </w:pPr>
      <w:r>
        <w:rPr>
          <w:rFonts w:ascii="Arial"/>
          <w:sz w:val="14"/>
        </w:rPr>
        <w:t>Pradita Iustitia Sitaresmi</w:t>
      </w:r>
      <w:r w:rsidR="00A9710C">
        <w:rPr>
          <w:rFonts w:ascii="Arial"/>
          <w:sz w:val="14"/>
        </w:rPr>
        <w:t xml:space="preserve"> has her expertise in </w:t>
      </w:r>
      <w:r>
        <w:rPr>
          <w:rFonts w:ascii="Arial"/>
          <w:sz w:val="14"/>
        </w:rPr>
        <w:t>animal reproduction, physiology and endocrinology</w:t>
      </w:r>
      <w:r w:rsidR="00A9710C">
        <w:rPr>
          <w:rFonts w:ascii="Arial"/>
          <w:sz w:val="14"/>
        </w:rPr>
        <w:t xml:space="preserve">. Her open and contextual </w:t>
      </w:r>
      <w:r w:rsidR="00214597">
        <w:rPr>
          <w:rFonts w:ascii="Arial"/>
          <w:sz w:val="14"/>
        </w:rPr>
        <w:t xml:space="preserve">to identify the reproduction character in new developing new breed of dairy goat, especially Saanen dairy goat which still rare in Indonesia. She and her team  also try to identify nutritional and physiological factor in these breed and try to identified in small stakeholder or in industry and make some evaluation from those data. All of those research, have some purpose to improving dairy industry especially goat milk industry in Indonesia </w:t>
      </w:r>
    </w:p>
    <w:p w:rsidR="00AE3E37" w:rsidRDefault="00A9710C">
      <w:pPr>
        <w:spacing w:before="62"/>
        <w:ind w:left="4217" w:right="4235"/>
        <w:jc w:val="center"/>
        <w:rPr>
          <w:rFonts w:ascii="Arial"/>
          <w:sz w:val="14"/>
        </w:rPr>
      </w:pPr>
      <w:r>
        <w:rPr>
          <w:rFonts w:ascii="Arial"/>
          <w:sz w:val="14"/>
        </w:rPr>
        <w:t xml:space="preserve">Email: </w:t>
      </w:r>
      <w:hyperlink r:id="rId11" w:history="1">
        <w:r w:rsidR="004B6075" w:rsidRPr="00C92914">
          <w:rPr>
            <w:rStyle w:val="Hyperlink"/>
            <w:rFonts w:ascii="Arial"/>
            <w:sz w:val="14"/>
          </w:rPr>
          <w:t>pradita.iustitia.s@mail.ugm.ac.id</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EB50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8F4" w:rsidRDefault="002F48F4">
      <w:r>
        <w:separator/>
      </w:r>
    </w:p>
  </w:endnote>
  <w:endnote w:type="continuationSeparator" w:id="0">
    <w:p w:rsidR="002F48F4" w:rsidRDefault="002F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8F4" w:rsidRDefault="002F48F4">
      <w:r>
        <w:separator/>
      </w:r>
    </w:p>
  </w:footnote>
  <w:footnote w:type="continuationSeparator" w:id="0">
    <w:p w:rsidR="002F48F4" w:rsidRDefault="002F4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14597"/>
    <w:rsid w:val="00292ED9"/>
    <w:rsid w:val="002F48F4"/>
    <w:rsid w:val="003E3D0C"/>
    <w:rsid w:val="00404E5B"/>
    <w:rsid w:val="00414F7B"/>
    <w:rsid w:val="004355DC"/>
    <w:rsid w:val="004749B4"/>
    <w:rsid w:val="00494130"/>
    <w:rsid w:val="004B6075"/>
    <w:rsid w:val="004F3523"/>
    <w:rsid w:val="00527ACA"/>
    <w:rsid w:val="005973B9"/>
    <w:rsid w:val="005B3A56"/>
    <w:rsid w:val="005D4C8C"/>
    <w:rsid w:val="006060CE"/>
    <w:rsid w:val="0063497F"/>
    <w:rsid w:val="00873DF0"/>
    <w:rsid w:val="008756E6"/>
    <w:rsid w:val="0099151C"/>
    <w:rsid w:val="009B2D44"/>
    <w:rsid w:val="00A07E82"/>
    <w:rsid w:val="00A70CA4"/>
    <w:rsid w:val="00A9710C"/>
    <w:rsid w:val="00AE3E37"/>
    <w:rsid w:val="00B21A57"/>
    <w:rsid w:val="00C33602"/>
    <w:rsid w:val="00CD6F55"/>
    <w:rsid w:val="00DE3104"/>
    <w:rsid w:val="00DE40B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5409B"/>
  <w15:docId w15:val="{296C27F5-0700-6D4E-A2ED-1B423924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B6075"/>
    <w:rPr>
      <w:color w:val="808080"/>
      <w:shd w:val="clear" w:color="auto" w:fill="E6E6E6"/>
    </w:rPr>
  </w:style>
  <w:style w:type="character" w:customStyle="1" w:styleId="apple-converted-space">
    <w:name w:val="apple-converted-space"/>
    <w:basedOn w:val="DefaultParagraphFont"/>
    <w:rsid w:val="003E3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208134">
      <w:bodyDiv w:val="1"/>
      <w:marLeft w:val="0"/>
      <w:marRight w:val="0"/>
      <w:marTop w:val="0"/>
      <w:marBottom w:val="0"/>
      <w:divBdr>
        <w:top w:val="none" w:sz="0" w:space="0" w:color="auto"/>
        <w:left w:val="none" w:sz="0" w:space="0" w:color="auto"/>
        <w:bottom w:val="none" w:sz="0" w:space="0" w:color="auto"/>
        <w:right w:val="none" w:sz="0" w:space="0" w:color="auto"/>
      </w:divBdr>
      <w:divsChild>
        <w:div w:id="16977387">
          <w:marLeft w:val="150"/>
          <w:marRight w:val="0"/>
          <w:marTop w:val="0"/>
          <w:marBottom w:val="75"/>
          <w:divBdr>
            <w:top w:val="none" w:sz="0" w:space="0" w:color="auto"/>
            <w:left w:val="none" w:sz="0" w:space="0" w:color="auto"/>
            <w:bottom w:val="none" w:sz="0" w:space="0" w:color="auto"/>
            <w:right w:val="none" w:sz="0" w:space="0" w:color="auto"/>
          </w:divBdr>
          <w:divsChild>
            <w:div w:id="3750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2719804">
      <w:bodyDiv w:val="1"/>
      <w:marLeft w:val="0"/>
      <w:marRight w:val="0"/>
      <w:marTop w:val="0"/>
      <w:marBottom w:val="0"/>
      <w:divBdr>
        <w:top w:val="none" w:sz="0" w:space="0" w:color="auto"/>
        <w:left w:val="none" w:sz="0" w:space="0" w:color="auto"/>
        <w:bottom w:val="none" w:sz="0" w:space="0" w:color="auto"/>
        <w:right w:val="none" w:sz="0" w:space="0" w:color="auto"/>
      </w:divBdr>
    </w:div>
    <w:div w:id="1103306070">
      <w:bodyDiv w:val="1"/>
      <w:marLeft w:val="0"/>
      <w:marRight w:val="0"/>
      <w:marTop w:val="0"/>
      <w:marBottom w:val="0"/>
      <w:divBdr>
        <w:top w:val="none" w:sz="0" w:space="0" w:color="auto"/>
        <w:left w:val="none" w:sz="0" w:space="0" w:color="auto"/>
        <w:bottom w:val="none" w:sz="0" w:space="0" w:color="auto"/>
        <w:right w:val="none" w:sz="0" w:space="0" w:color="auto"/>
      </w:divBdr>
    </w:div>
    <w:div w:id="1263538080">
      <w:bodyDiv w:val="1"/>
      <w:marLeft w:val="0"/>
      <w:marRight w:val="0"/>
      <w:marTop w:val="0"/>
      <w:marBottom w:val="0"/>
      <w:divBdr>
        <w:top w:val="none" w:sz="0" w:space="0" w:color="auto"/>
        <w:left w:val="none" w:sz="0" w:space="0" w:color="auto"/>
        <w:bottom w:val="none" w:sz="0" w:space="0" w:color="auto"/>
        <w:right w:val="none" w:sz="0" w:space="0" w:color="auto"/>
      </w:divBdr>
    </w:div>
    <w:div w:id="1428964306">
      <w:bodyDiv w:val="1"/>
      <w:marLeft w:val="0"/>
      <w:marRight w:val="0"/>
      <w:marTop w:val="0"/>
      <w:marBottom w:val="0"/>
      <w:divBdr>
        <w:top w:val="none" w:sz="0" w:space="0" w:color="auto"/>
        <w:left w:val="none" w:sz="0" w:space="0" w:color="auto"/>
        <w:bottom w:val="none" w:sz="0" w:space="0" w:color="auto"/>
        <w:right w:val="none" w:sz="0" w:space="0" w:color="auto"/>
      </w:divBdr>
      <w:divsChild>
        <w:div w:id="918249644">
          <w:marLeft w:val="150"/>
          <w:marRight w:val="0"/>
          <w:marTop w:val="0"/>
          <w:marBottom w:val="75"/>
          <w:divBdr>
            <w:top w:val="none" w:sz="0" w:space="0" w:color="auto"/>
            <w:left w:val="none" w:sz="0" w:space="0" w:color="auto"/>
            <w:bottom w:val="none" w:sz="0" w:space="0" w:color="auto"/>
            <w:right w:val="none" w:sz="0" w:space="0" w:color="auto"/>
          </w:divBdr>
          <w:divsChild>
            <w:div w:id="59331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5894">
      <w:bodyDiv w:val="1"/>
      <w:marLeft w:val="0"/>
      <w:marRight w:val="0"/>
      <w:marTop w:val="0"/>
      <w:marBottom w:val="0"/>
      <w:divBdr>
        <w:top w:val="none" w:sz="0" w:space="0" w:color="auto"/>
        <w:left w:val="none" w:sz="0" w:space="0" w:color="auto"/>
        <w:bottom w:val="none" w:sz="0" w:space="0" w:color="auto"/>
        <w:right w:val="none" w:sz="0" w:space="0" w:color="auto"/>
      </w:divBdr>
      <w:divsChild>
        <w:div w:id="1934626928">
          <w:marLeft w:val="0"/>
          <w:marRight w:val="0"/>
          <w:marTop w:val="0"/>
          <w:marBottom w:val="0"/>
          <w:divBdr>
            <w:top w:val="none" w:sz="0" w:space="0" w:color="auto"/>
            <w:left w:val="none" w:sz="0" w:space="0" w:color="auto"/>
            <w:bottom w:val="none" w:sz="0" w:space="0" w:color="auto"/>
            <w:right w:val="none" w:sz="0" w:space="0" w:color="auto"/>
          </w:divBdr>
        </w:div>
        <w:div w:id="803739996">
          <w:marLeft w:val="0"/>
          <w:marRight w:val="0"/>
          <w:marTop w:val="0"/>
          <w:marBottom w:val="0"/>
          <w:divBdr>
            <w:top w:val="none" w:sz="0" w:space="0" w:color="auto"/>
            <w:left w:val="none" w:sz="0" w:space="0" w:color="auto"/>
            <w:bottom w:val="none" w:sz="0" w:space="0" w:color="auto"/>
            <w:right w:val="none" w:sz="0" w:space="0" w:color="auto"/>
          </w:divBdr>
        </w:div>
        <w:div w:id="1753771498">
          <w:marLeft w:val="0"/>
          <w:marRight w:val="0"/>
          <w:marTop w:val="0"/>
          <w:marBottom w:val="0"/>
          <w:divBdr>
            <w:top w:val="none" w:sz="0" w:space="0" w:color="auto"/>
            <w:left w:val="none" w:sz="0" w:space="0" w:color="auto"/>
            <w:bottom w:val="none" w:sz="0" w:space="0" w:color="auto"/>
            <w:right w:val="none" w:sz="0" w:space="0" w:color="auto"/>
          </w:divBdr>
        </w:div>
        <w:div w:id="1569998689">
          <w:marLeft w:val="0"/>
          <w:marRight w:val="0"/>
          <w:marTop w:val="0"/>
          <w:marBottom w:val="0"/>
          <w:divBdr>
            <w:top w:val="none" w:sz="0" w:space="0" w:color="auto"/>
            <w:left w:val="none" w:sz="0" w:space="0" w:color="auto"/>
            <w:bottom w:val="none" w:sz="0" w:space="0" w:color="auto"/>
            <w:right w:val="none" w:sz="0" w:space="0" w:color="auto"/>
          </w:divBdr>
        </w:div>
        <w:div w:id="195123223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6759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adita.iustitia.s@mail.ugm.ac.id"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E7D028D5-932B-E14D-B3C4-4081AA58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Pradita iustitia sitaresmi</cp:lastModifiedBy>
  <cp:revision>3</cp:revision>
  <dcterms:created xsi:type="dcterms:W3CDTF">2018-07-25T19:55:00Z</dcterms:created>
  <dcterms:modified xsi:type="dcterms:W3CDTF">2018-07-25T19:59:00Z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