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40422" w14:textId="77777777" w:rsidR="00DD6C13" w:rsidRPr="009B5637" w:rsidRDefault="00DD6C13" w:rsidP="00DD6C13">
      <w:pPr>
        <w:spacing w:line="480" w:lineRule="auto"/>
        <w:rPr>
          <w:rFonts w:ascii="Times New Roman" w:eastAsia="Times New Roman" w:hAnsi="Times New Roman" w:cs="Times New Roman"/>
          <w:b/>
          <w:bCs/>
          <w:sz w:val="28"/>
        </w:rPr>
      </w:pPr>
      <w:r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The efficacy of combination of sodium hypochlorite 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(</w:t>
      </w:r>
      <w:proofErr w:type="spellStart"/>
      <w:r w:rsidRPr="009B5637">
        <w:rPr>
          <w:rFonts w:ascii="Times New Roman" w:eastAsia="Times New Roman" w:hAnsi="Times New Roman" w:cs="Times New Roman"/>
          <w:b/>
          <w:bCs/>
          <w:sz w:val="28"/>
        </w:rPr>
        <w:t>NaOCL</w:t>
      </w:r>
      <w:proofErr w:type="spellEnd"/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)/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 xml:space="preserve">hypochlorous acid 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(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HOCL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 xml:space="preserve">) 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in wound management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 xml:space="preserve">: 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a systematic review and network meta</w:t>
      </w:r>
      <w:r w:rsidRPr="009B5637">
        <w:rPr>
          <w:rFonts w:ascii="Times New Roman" w:eastAsia="Times New Roman" w:hAnsi="Times New Roman" w:cs="Times New Roman"/>
          <w:b/>
          <w:bCs/>
          <w:sz w:val="28"/>
          <w:cs/>
        </w:rPr>
        <w:t>-</w:t>
      </w:r>
      <w:r w:rsidRPr="009B5637">
        <w:rPr>
          <w:rFonts w:ascii="Times New Roman" w:eastAsia="Times New Roman" w:hAnsi="Times New Roman" w:cs="Times New Roman"/>
          <w:b/>
          <w:bCs/>
          <w:sz w:val="28"/>
        </w:rPr>
        <w:t>analysis</w:t>
      </w:r>
    </w:p>
    <w:p w14:paraId="43F6E592" w14:textId="77777777" w:rsidR="00DD6C13" w:rsidRPr="009B5637" w:rsidRDefault="00DD6C13" w:rsidP="00DD6C13">
      <w:pPr>
        <w:spacing w:line="480" w:lineRule="auto"/>
        <w:rPr>
          <w:rFonts w:ascii="Times New Roman" w:hAnsi="Times New Roman" w:cs="Times New Roman"/>
          <w:sz w:val="24"/>
          <w:szCs w:val="24"/>
          <w:rtl/>
          <w:cs/>
        </w:rPr>
      </w:pP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Napaphat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Poprom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, Ph</w:t>
      </w:r>
      <w:r w:rsidRPr="009B5637">
        <w:rPr>
          <w:rFonts w:ascii="Times New Roman" w:hAnsi="Times New Roman" w:cs="Times New Roman"/>
          <w:sz w:val="24"/>
          <w:szCs w:val="24"/>
          <w:cs/>
        </w:rPr>
        <w:t>.</w:t>
      </w:r>
      <w:r w:rsidRPr="009B5637">
        <w:rPr>
          <w:rFonts w:ascii="Times New Roman" w:hAnsi="Times New Roman" w:cs="Times New Roman"/>
          <w:sz w:val="24"/>
          <w:szCs w:val="24"/>
        </w:rPr>
        <w:t>D</w:t>
      </w:r>
      <w:r w:rsidRPr="009B5637">
        <w:rPr>
          <w:rFonts w:ascii="Times New Roman" w:hAnsi="Times New Roman" w:cs="Times New Roman"/>
          <w:sz w:val="24"/>
          <w:szCs w:val="24"/>
          <w:cs/>
        </w:rPr>
        <w:t>.</w:t>
      </w:r>
      <w:r w:rsidRPr="009B5637">
        <w:rPr>
          <w:rFonts w:ascii="Times New Roman" w:hAnsi="Times New Roman" w:cs="Times New Roman"/>
          <w:sz w:val="24"/>
          <w:szCs w:val="24"/>
        </w:rPr>
        <w:t>, Chairat Supsamutchai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 xml:space="preserve">, M.D.,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Jakrapan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Jirasiritham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, M.D.,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Puvee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Punmeechao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, M.D.,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Chaowanun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Pornwaragorn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 xml:space="preserve">, M.D.,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Chumpon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Wilasrusmeea</w:t>
      </w: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>, M.D., Ph.D.</w:t>
      </w:r>
    </w:p>
    <w:p w14:paraId="1B955C75" w14:textId="77777777" w:rsidR="00DD6C13" w:rsidRPr="009B5637" w:rsidRDefault="00DD6C13" w:rsidP="00DD6C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B5637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B5637">
        <w:rPr>
          <w:rFonts w:ascii="Times New Roman" w:hAnsi="Times New Roman" w:cs="Times New Roman"/>
          <w:sz w:val="24"/>
          <w:szCs w:val="24"/>
        </w:rPr>
        <w:t xml:space="preserve">Department of Surgery, Faculty of Medicine,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Ramathibodi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Hospital, Mahidol University, Thailand</w:t>
      </w:r>
      <w:r w:rsidRPr="009B5637">
        <w:rPr>
          <w:rFonts w:ascii="Times New Roman" w:hAnsi="Times New Roman" w:cs="Times New Roman"/>
          <w:sz w:val="24"/>
          <w:szCs w:val="24"/>
          <w:rtl/>
          <w:cs/>
        </w:rPr>
        <w:t>.</w:t>
      </w:r>
    </w:p>
    <w:p w14:paraId="761759FD" w14:textId="77777777" w:rsidR="00AE3E37" w:rsidRDefault="00AE3E37">
      <w:pPr>
        <w:pStyle w:val="BodyText"/>
        <w:rPr>
          <w:rFonts w:ascii="Arial"/>
          <w:sz w:val="20"/>
        </w:rPr>
      </w:pPr>
    </w:p>
    <w:p w14:paraId="78E42EE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4E9293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F11F8C7" w14:textId="77777777" w:rsidR="00DD6C13" w:rsidRPr="009B5637" w:rsidRDefault="00DD6C13" w:rsidP="00DD6C13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14:paraId="0F819EF9" w14:textId="77777777" w:rsidR="00DD6C13" w:rsidRPr="009B5637" w:rsidRDefault="00DD6C13" w:rsidP="00DD6C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0AA0">
        <w:rPr>
          <w:rFonts w:ascii="Times New Roman" w:eastAsia="Times New Roman" w:hAnsi="Times New Roman" w:cs="Times New Roman"/>
          <w:b/>
          <w:bCs/>
          <w:sz w:val="24"/>
          <w:szCs w:val="24"/>
        </w:rPr>
        <w:t>Background</w:t>
      </w: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5637">
        <w:rPr>
          <w:rFonts w:ascii="Times New Roman" w:hAnsi="Times New Roman" w:cs="Times New Roman"/>
          <w:sz w:val="24"/>
          <w:szCs w:val="24"/>
        </w:rPr>
        <w:t xml:space="preserve">Antiseptic and antibacterial solutions are increasing used in the treatment of </w:t>
      </w:r>
      <w:r>
        <w:rPr>
          <w:rFonts w:ascii="Times New Roman" w:hAnsi="Times New Roman" w:cs="Times New Roman"/>
          <w:sz w:val="24"/>
          <w:szCs w:val="24"/>
        </w:rPr>
        <w:t>various types of</w:t>
      </w:r>
      <w:r w:rsidRPr="009B5637">
        <w:rPr>
          <w:rFonts w:ascii="Times New Roman" w:hAnsi="Times New Roman" w:cs="Times New Roman"/>
          <w:sz w:val="24"/>
          <w:szCs w:val="24"/>
        </w:rPr>
        <w:t xml:space="preserve"> wounds. The successful stabilization of the combination Sodium Hypochlorite</w:t>
      </w:r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r w:rsidRPr="009B5637">
        <w:rPr>
          <w:rFonts w:ascii="Times New Roman" w:hAnsi="Times New Roman" w:cs="Times New Roman"/>
          <w:sz w:val="24"/>
          <w:szCs w:val="24"/>
        </w:rPr>
        <w:t xml:space="preserve">Hypochlorous acid </w:t>
      </w:r>
      <w:r w:rsidRPr="009B5637">
        <w:rPr>
          <w:rFonts w:ascii="Times New Roman" w:hAnsi="Times New Roman" w:cs="Times New Roman"/>
          <w:sz w:val="24"/>
          <w:szCs w:val="24"/>
          <w:cs/>
        </w:rPr>
        <w:t>(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HOCl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9B5637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superoxidized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solution</w:t>
      </w:r>
      <w:r w:rsidRPr="009B5637">
        <w:rPr>
          <w:rFonts w:ascii="Times New Roman" w:hAnsi="Times New Roman" w:cs="Times New Roman"/>
          <w:sz w:val="24"/>
          <w:szCs w:val="24"/>
          <w:cs/>
        </w:rPr>
        <w:t xml:space="preserve"> (</w:t>
      </w:r>
      <w:r w:rsidRPr="009B5637">
        <w:rPr>
          <w:rFonts w:ascii="Times New Roman" w:hAnsi="Times New Roman" w:cs="Times New Roman"/>
          <w:sz w:val="24"/>
          <w:szCs w:val="24"/>
        </w:rPr>
        <w:t>SOS</w:t>
      </w:r>
      <w:r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9B5637">
        <w:rPr>
          <w:rFonts w:ascii="Times New Roman" w:hAnsi="Times New Roman" w:cs="Times New Roman"/>
          <w:sz w:val="24"/>
          <w:szCs w:val="24"/>
        </w:rPr>
        <w:t>has been reported as an effective solution without irritating on mammal cell and no evidence that poses a carcinogenic hazard. There was no systematic review or meta</w:t>
      </w:r>
      <w:r w:rsidRPr="009B5637">
        <w:rPr>
          <w:rFonts w:ascii="Times New Roman" w:hAnsi="Times New Roman" w:cs="Times New Roman"/>
          <w:sz w:val="24"/>
          <w:szCs w:val="24"/>
          <w:cs/>
        </w:rPr>
        <w:t>-</w:t>
      </w:r>
      <w:r w:rsidRPr="009B5637">
        <w:rPr>
          <w:rFonts w:ascii="Times New Roman" w:hAnsi="Times New Roman" w:cs="Times New Roman"/>
          <w:sz w:val="24"/>
          <w:szCs w:val="24"/>
        </w:rPr>
        <w:t>analysis to compare the effectiveness of these antiseptic solutions</w:t>
      </w:r>
      <w:r w:rsidRPr="009B5637">
        <w:rPr>
          <w:rFonts w:ascii="Times New Roman" w:hAnsi="Times New Roman" w:cs="Times New Roman"/>
          <w:sz w:val="24"/>
          <w:szCs w:val="24"/>
          <w:cs/>
        </w:rPr>
        <w:t xml:space="preserve">. </w:t>
      </w:r>
      <w:r w:rsidRPr="009B5637">
        <w:rPr>
          <w:rFonts w:ascii="Times New Roman" w:hAnsi="Times New Roman" w:cs="Times New Roman"/>
          <w:sz w:val="24"/>
          <w:szCs w:val="24"/>
        </w:rPr>
        <w:t xml:space="preserve">In this study, we aim to investigate the role of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HOCl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9B5637">
        <w:rPr>
          <w:rFonts w:ascii="Times New Roman" w:hAnsi="Times New Roman" w:cs="Times New Roman"/>
          <w:sz w:val="24"/>
          <w:szCs w:val="24"/>
        </w:rPr>
        <w:t>in the treatment of wounds</w:t>
      </w:r>
      <w:r w:rsidRPr="009B5637">
        <w:rPr>
          <w:rFonts w:ascii="Times New Roman" w:hAnsi="Times New Roman" w:cs="Times New Roman"/>
          <w:sz w:val="24"/>
          <w:szCs w:val="24"/>
          <w:cs/>
        </w:rPr>
        <w:t>.</w:t>
      </w:r>
    </w:p>
    <w:p w14:paraId="7ABC5E2A" w14:textId="77777777" w:rsidR="00DD6C13" w:rsidRPr="009B5637" w:rsidRDefault="00DD6C13" w:rsidP="00DD6C1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Methods</w:t>
      </w: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Pr="009B5637">
        <w:rPr>
          <w:rFonts w:ascii="Times New Roman" w:hAnsi="Times New Roman" w:cs="Times New Roman"/>
          <w:sz w:val="24"/>
          <w:szCs w:val="24"/>
        </w:rPr>
        <w:t>The systematic review with extended to network meta</w:t>
      </w:r>
      <w:r w:rsidRPr="009B5637">
        <w:rPr>
          <w:rFonts w:ascii="Times New Roman" w:hAnsi="Times New Roman" w:cs="Times New Roman"/>
          <w:sz w:val="24"/>
          <w:szCs w:val="24"/>
          <w:cs/>
        </w:rPr>
        <w:t>-</w:t>
      </w:r>
      <w:r w:rsidRPr="009B5637">
        <w:rPr>
          <w:rFonts w:ascii="Times New Roman" w:hAnsi="Times New Roman" w:cs="Times New Roman"/>
          <w:sz w:val="24"/>
          <w:szCs w:val="24"/>
        </w:rPr>
        <w:t xml:space="preserve">analysis </w:t>
      </w:r>
      <w:r w:rsidRPr="009B5637">
        <w:rPr>
          <w:rFonts w:ascii="Times New Roman" w:hAnsi="Times New Roman" w:cs="Times New Roman"/>
          <w:sz w:val="24"/>
          <w:szCs w:val="24"/>
          <w:cs/>
        </w:rPr>
        <w:t>(</w:t>
      </w:r>
      <w:r w:rsidRPr="009B5637">
        <w:rPr>
          <w:rFonts w:ascii="Times New Roman" w:hAnsi="Times New Roman" w:cs="Times New Roman"/>
          <w:sz w:val="24"/>
          <w:szCs w:val="24"/>
        </w:rPr>
        <w:t>NMA</w:t>
      </w:r>
      <w:r w:rsidRPr="009B5637">
        <w:rPr>
          <w:rFonts w:ascii="Times New Roman" w:hAnsi="Times New Roman" w:cs="Times New Roman"/>
          <w:sz w:val="24"/>
          <w:szCs w:val="24"/>
          <w:cs/>
        </w:rPr>
        <w:t xml:space="preserve">) </w:t>
      </w:r>
      <w:r w:rsidRPr="009B5637">
        <w:rPr>
          <w:rFonts w:ascii="Times New Roman" w:hAnsi="Times New Roman" w:cs="Times New Roman"/>
          <w:sz w:val="24"/>
          <w:szCs w:val="24"/>
        </w:rPr>
        <w:t xml:space="preserve">was conducted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9B5637">
        <w:rPr>
          <w:rFonts w:ascii="Times New Roman" w:hAnsi="Times New Roman" w:cs="Times New Roman"/>
          <w:sz w:val="24"/>
          <w:szCs w:val="24"/>
        </w:rPr>
        <w:t xml:space="preserve">included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HOCl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>povidone iodine</w:t>
      </w:r>
      <w:r w:rsidRPr="009B563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octenidine</w:t>
      </w:r>
      <w:proofErr w:type="spellEnd"/>
      <w:r w:rsidRPr="009B5637">
        <w:rPr>
          <w:rFonts w:ascii="Times New Roman" w:hAnsi="Times New Roman" w:cs="Times New Roman"/>
          <w:sz w:val="24"/>
          <w:szCs w:val="24"/>
        </w:rPr>
        <w:t xml:space="preserve"> dihydrochloride, 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polyhexamethylene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biguanide</w:t>
      </w:r>
      <w:r w:rsidRPr="009B5637">
        <w:rPr>
          <w:rFonts w:ascii="Times New Roman" w:hAnsi="Times New Roman" w:cs="Times New Roman"/>
          <w:sz w:val="24"/>
          <w:szCs w:val="24"/>
        </w:rPr>
        <w:t xml:space="preserve">, alcohol,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9B5637">
        <w:rPr>
          <w:rFonts w:ascii="Times New Roman" w:hAnsi="Times New Roman" w:cs="Times New Roman"/>
          <w:sz w:val="24"/>
          <w:szCs w:val="24"/>
        </w:rPr>
        <w:t>silver compared with normal saline.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The primary outcome was wound healing. </w:t>
      </w:r>
      <w:r w:rsidRPr="009B5637">
        <w:rPr>
          <w:rFonts w:ascii="Times New Roman" w:hAnsi="Times New Roman" w:cs="Times New Roman"/>
          <w:sz w:val="24"/>
          <w:szCs w:val="24"/>
        </w:rPr>
        <w:t xml:space="preserve">The direct and indirect comparisons were performed with probability </w:t>
      </w:r>
      <w:r w:rsidRPr="009B5637">
        <w:rPr>
          <w:rFonts w:ascii="Times New Roman" w:hAnsi="Times New Roman" w:cs="Times New Roman"/>
          <w:sz w:val="24"/>
          <w:szCs w:val="24"/>
        </w:rPr>
        <w:t>being best of treatment using surface under the cumulative ranking curve (SUCRA)</w:t>
      </w:r>
      <w:r w:rsidRPr="009B5637">
        <w:rPr>
          <w:rFonts w:ascii="Times New Roman" w:hAnsi="Times New Roman" w:cs="Times New Roman"/>
          <w:sz w:val="24"/>
          <w:szCs w:val="24"/>
          <w:cs/>
        </w:rPr>
        <w:t xml:space="preserve">. </w:t>
      </w:r>
    </w:p>
    <w:p w14:paraId="27757BCD" w14:textId="77777777" w:rsidR="00DD6C13" w:rsidRDefault="00DD6C13" w:rsidP="00DD6C13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 w:rsidRPr="009B5637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A total of 507 studies were identified from PUBMED and SCOPUS databases, and 64 articles were duplicates</w:t>
      </w:r>
      <w:r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.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Among 29 studies were included, there were 22 RCTs and 7 cohort studies met our inclusion criteria.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HOCl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>had higher chance of wound healing from 1.07 to 1.30 compared with all of regimens</w:t>
      </w:r>
      <w:r w:rsidRPr="009B5637">
        <w:rPr>
          <w:rFonts w:ascii="Times New Roman" w:eastAsia="Times New Roman" w:hAnsi="Times New Roman" w:cs="Times New Roman"/>
          <w:sz w:val="24"/>
          <w:szCs w:val="24"/>
          <w:cs/>
        </w:rPr>
        <w:t xml:space="preserve">.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The probability of being the best treatment was 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hAnsi="Times New Roman" w:cs="Times New Roman"/>
          <w:sz w:val="24"/>
          <w:szCs w:val="24"/>
          <w:cs/>
        </w:rPr>
        <w:t>/</w:t>
      </w:r>
      <w:proofErr w:type="spellStart"/>
      <w:r w:rsidRPr="009B5637">
        <w:rPr>
          <w:rFonts w:ascii="Times New Roman" w:hAnsi="Times New Roman" w:cs="Times New Roman"/>
          <w:sz w:val="24"/>
          <w:szCs w:val="24"/>
        </w:rPr>
        <w:t>HOCl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, followed by silver and 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octenidine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with SUCRAs of 36.9, 23.1, and 21.8, respectively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11B3BC4" w14:textId="77777777" w:rsidR="00DD6C13" w:rsidRDefault="00DD6C13" w:rsidP="00DD6C13">
      <w:pPr>
        <w:autoSpaceDE w:val="0"/>
        <w:autoSpaceDN w:val="0"/>
        <w:adjustRightInd w:val="0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03B1A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Our evidence suggests that 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NaOCl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HOCl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 xml:space="preserve"> had highest efficacy.  It was ranked first followed by silver, </w:t>
      </w:r>
      <w:proofErr w:type="spellStart"/>
      <w:r w:rsidRPr="009B5637">
        <w:rPr>
          <w:rFonts w:ascii="Times New Roman" w:eastAsia="Times New Roman" w:hAnsi="Times New Roman" w:cs="Times New Roman"/>
          <w:sz w:val="24"/>
          <w:szCs w:val="24"/>
        </w:rPr>
        <w:t>octenidine</w:t>
      </w:r>
      <w:proofErr w:type="spellEnd"/>
      <w:r w:rsidRPr="009B5637">
        <w:rPr>
          <w:rFonts w:ascii="Times New Roman" w:eastAsia="Times New Roman" w:hAnsi="Times New Roman" w:cs="Times New Roman"/>
          <w:sz w:val="24"/>
          <w:szCs w:val="24"/>
        </w:rPr>
        <w:t>, and PHMB for treatment success. Further large scale RCTs should be conducted alongside with economic evaluations.</w:t>
      </w:r>
    </w:p>
    <w:p w14:paraId="59887196" w14:textId="627A66CD" w:rsidR="00DD6C13" w:rsidRDefault="00A9710C" w:rsidP="00DD6C13">
      <w:pPr>
        <w:pStyle w:val="Heading3"/>
        <w:spacing w:before="74"/>
        <w:rPr>
          <w:rFonts w:ascii="Times New Roman" w:hAnsi="Times New Roman" w:cs="Times New Roman"/>
          <w:sz w:val="24"/>
          <w:szCs w:val="2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43FAC40F" w14:textId="0CC6A21D" w:rsidR="00DD6C13" w:rsidRPr="00DD6C13" w:rsidRDefault="00DD6C13" w:rsidP="00DD6C1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5DB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irect meta-analysis</w:t>
      </w:r>
      <w:r w:rsidRPr="00D45DB4">
        <w:rPr>
          <w:rFonts w:ascii="Times New Roman" w:hAnsi="Times New Roman" w:cs="Times New Roman"/>
          <w:sz w:val="24"/>
          <w:szCs w:val="24"/>
        </w:rPr>
        <w:t xml:space="preserve"> between </w:t>
      </w:r>
      <w:proofErr w:type="spellStart"/>
      <w:r w:rsidRPr="00D45DB4">
        <w:rPr>
          <w:rFonts w:ascii="Times New Roman" w:hAnsi="Times New Roman" w:cs="Times New Roman"/>
          <w:sz w:val="24"/>
          <w:szCs w:val="24"/>
        </w:rPr>
        <w:t>NaOCl</w:t>
      </w:r>
      <w:proofErr w:type="spellEnd"/>
      <w:r w:rsidRPr="00D45DB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45DB4">
        <w:rPr>
          <w:rFonts w:ascii="Times New Roman" w:hAnsi="Times New Roman" w:cs="Times New Roman"/>
          <w:sz w:val="24"/>
          <w:szCs w:val="24"/>
        </w:rPr>
        <w:t>HOCl</w:t>
      </w:r>
      <w:proofErr w:type="spellEnd"/>
      <w:r w:rsidRPr="00D45DB4">
        <w:rPr>
          <w:rFonts w:ascii="Times New Roman" w:hAnsi="Times New Roman" w:cs="Times New Roman"/>
          <w:sz w:val="24"/>
          <w:szCs w:val="24"/>
        </w:rPr>
        <w:t xml:space="preserve"> vs </w:t>
      </w:r>
      <w:r>
        <w:rPr>
          <w:rFonts w:ascii="Times New Roman" w:hAnsi="Times New Roman" w:cs="Times New Roman"/>
          <w:sz w:val="24"/>
          <w:szCs w:val="24"/>
        </w:rPr>
        <w:t>NSS</w:t>
      </w:r>
      <w:r>
        <w:rPr>
          <w:rFonts w:ascii="Times New Roman" w:hAnsi="Times New Roman" w:cs="Times New Roman"/>
          <w:noProof/>
          <w:sz w:val="24"/>
          <w:szCs w:val="24"/>
          <w:lang w:bidi="th-TH"/>
        </w:rPr>
        <w:drawing>
          <wp:anchor distT="0" distB="0" distL="114300" distR="114300" simplePos="0" relativeHeight="251660288" behindDoc="0" locked="0" layoutInCell="1" allowOverlap="1" wp14:anchorId="68E54F6B" wp14:editId="4024A346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5731510" cy="2766695"/>
            <wp:effectExtent l="0" t="0" r="254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rest RCT HOCL&amp;Physio 23-12-2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E62A3" w14:textId="07E70827" w:rsidR="00AE3E37" w:rsidRDefault="00AE3E37">
      <w:pPr>
        <w:pStyle w:val="BodyText"/>
        <w:spacing w:before="2"/>
        <w:rPr>
          <w:noProof/>
          <w:lang w:val="en-IN" w:eastAsia="en-IN"/>
        </w:rPr>
      </w:pPr>
    </w:p>
    <w:p w14:paraId="2F735E20" w14:textId="77777777" w:rsidR="00DD6C13" w:rsidRDefault="00DD6C13">
      <w:pPr>
        <w:pStyle w:val="BodyText"/>
        <w:spacing w:before="2"/>
        <w:rPr>
          <w:rFonts w:ascii="Arial"/>
          <w:b/>
          <w:sz w:val="16"/>
        </w:rPr>
      </w:pPr>
    </w:p>
    <w:p w14:paraId="48FABAF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8977169" w14:textId="4DB2E73A" w:rsidR="00DD6C13" w:rsidRPr="001D7D56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1D7D56">
        <w:rPr>
          <w:rFonts w:ascii="Times New Roman" w:hAnsi="Times New Roman" w:cs="Times New Roman"/>
          <w:sz w:val="24"/>
          <w:szCs w:val="24"/>
        </w:rPr>
        <w:t xml:space="preserve">Norman G, Atkinson RA, Smith TA, Rowlands C, Rithalia AD, Crosbie EJ, Dumville JC. Intracavity lavage and wound irrigation for prevention of surgical site infection. </w:t>
      </w:r>
      <w:r w:rsidRPr="001D7D56">
        <w:rPr>
          <w:rFonts w:ascii="Times New Roman" w:hAnsi="Times New Roman" w:cs="Times New Roman"/>
          <w:i/>
          <w:sz w:val="24"/>
          <w:szCs w:val="24"/>
        </w:rPr>
        <w:t xml:space="preserve">Cochrane Database Syst Rev. </w:t>
      </w:r>
      <w:r w:rsidRPr="001D7D56">
        <w:rPr>
          <w:rFonts w:ascii="Times New Roman" w:hAnsi="Times New Roman" w:cs="Times New Roman"/>
          <w:sz w:val="24"/>
          <w:szCs w:val="24"/>
        </w:rPr>
        <w:t>2017;10(10):Cd012234.</w:t>
      </w:r>
    </w:p>
    <w:p w14:paraId="74E698DE" w14:textId="367AAB5B" w:rsidR="00DD6C13" w:rsidRPr="001D7D56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D7D56">
        <w:rPr>
          <w:rFonts w:ascii="Times New Roman" w:hAnsi="Times New Roman" w:cs="Times New Roman"/>
          <w:sz w:val="24"/>
          <w:szCs w:val="24"/>
        </w:rPr>
        <w:t xml:space="preserve">Axel K., Joachim D., Ibby Y. Granudacyn: wound cleansing and irrigation. </w:t>
      </w:r>
      <w:r w:rsidRPr="001D7D56">
        <w:rPr>
          <w:rFonts w:ascii="Times New Roman" w:hAnsi="Times New Roman" w:cs="Times New Roman"/>
          <w:i/>
          <w:sz w:val="24"/>
          <w:szCs w:val="24"/>
        </w:rPr>
        <w:t xml:space="preserve">Journal of Wound Care. </w:t>
      </w:r>
      <w:r w:rsidRPr="001D7D56">
        <w:rPr>
          <w:rFonts w:ascii="Times New Roman" w:hAnsi="Times New Roman" w:cs="Times New Roman"/>
          <w:sz w:val="24"/>
          <w:szCs w:val="24"/>
        </w:rPr>
        <w:t>2020;29(10).</w:t>
      </w:r>
    </w:p>
    <w:p w14:paraId="1B79CE83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46CD41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4DA59F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DCE735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EE3FBD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BB734A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85C4D45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F16A4A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49A2EC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D438C6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5229BFD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CF3BAC5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58EF159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D3AB77F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8DA181D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D1BE73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EC34083" w14:textId="77777777" w:rsidR="00DD6C13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8360AD" w14:textId="1C83FE66" w:rsidR="00DD6C13" w:rsidRPr="001D7D56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1D7D56">
        <w:rPr>
          <w:rFonts w:ascii="Times New Roman" w:hAnsi="Times New Roman" w:cs="Times New Roman"/>
          <w:sz w:val="24"/>
          <w:szCs w:val="24"/>
        </w:rPr>
        <w:t xml:space="preserve">Thorn RM, Lee SW, Robinson GM, Greenman J, Reynolds DM. Electrochemically activated solutions: evidence for antimicrobial efficacy and applications in healthcare environments. </w:t>
      </w:r>
      <w:r w:rsidRPr="001D7D56">
        <w:rPr>
          <w:rFonts w:ascii="Times New Roman" w:hAnsi="Times New Roman" w:cs="Times New Roman"/>
          <w:i/>
          <w:sz w:val="24"/>
          <w:szCs w:val="24"/>
        </w:rPr>
        <w:t xml:space="preserve">Eur J Clin Microbiol Infect Dis. </w:t>
      </w:r>
      <w:r w:rsidRPr="001D7D56">
        <w:rPr>
          <w:rFonts w:ascii="Times New Roman" w:hAnsi="Times New Roman" w:cs="Times New Roman"/>
          <w:sz w:val="24"/>
          <w:szCs w:val="24"/>
        </w:rPr>
        <w:t>2012;31(5):641-653.</w:t>
      </w:r>
    </w:p>
    <w:p w14:paraId="4420B992" w14:textId="7E8DBE96" w:rsidR="00DD6C13" w:rsidRPr="001D7D56" w:rsidRDefault="00DD6C13" w:rsidP="00DD6C13">
      <w:pPr>
        <w:pStyle w:val="EndNoteBibliography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D7D56">
        <w:rPr>
          <w:rFonts w:ascii="Times New Roman" w:hAnsi="Times New Roman" w:cs="Times New Roman"/>
          <w:sz w:val="24"/>
          <w:szCs w:val="24"/>
        </w:rPr>
        <w:t xml:space="preserve">Wang L, Bassiri M, Najafi R, Najafi K, Yang J, Khosrovi B, Hwong W, Barati E, Belisle B, Celeri C, et al. Hypochlorous acid as a potential wound care agent: part I. Stabilized hypochlorous acid: a component of the inorganic armamentarium of innate immunity. </w:t>
      </w:r>
      <w:r w:rsidRPr="001D7D56">
        <w:rPr>
          <w:rFonts w:ascii="Times New Roman" w:hAnsi="Times New Roman" w:cs="Times New Roman"/>
          <w:i/>
          <w:sz w:val="24"/>
          <w:szCs w:val="24"/>
        </w:rPr>
        <w:t xml:space="preserve">J Burns Wounds. </w:t>
      </w:r>
      <w:r w:rsidRPr="001D7D56">
        <w:rPr>
          <w:rFonts w:ascii="Times New Roman" w:hAnsi="Times New Roman" w:cs="Times New Roman"/>
          <w:sz w:val="24"/>
          <w:szCs w:val="24"/>
        </w:rPr>
        <w:t>2007;6:e5.</w:t>
      </w:r>
    </w:p>
    <w:p w14:paraId="75C8F0DC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8CD2727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163C721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8FEBCA3" wp14:editId="7F977C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BFD8C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83C596C" w14:textId="77777777" w:rsidR="008F0295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8F0295">
        <w:rPr>
          <w:noProof/>
        </w:rPr>
        <w:drawing>
          <wp:inline distT="0" distB="0" distL="0" distR="0" wp14:anchorId="37D3C325" wp14:editId="461F5824">
            <wp:extent cx="819150" cy="819150"/>
            <wp:effectExtent l="0" t="0" r="0" b="0"/>
            <wp:docPr id="3" name="Picture 3" descr="Chumpon Wilasrusmee | Gastroenterology Conferences 2023 | GI Conferences  2023 | Hepatology Cong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umpon Wilasrusmee | Gastroenterology Conferences 2023 | GI Conferences  2023 | Hepatology Congres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B0D29" w14:textId="6F6DC17B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7D94C55E" w14:textId="37E50190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r w:rsidR="008F0295">
        <w:rPr>
          <w:rFonts w:ascii="Arial"/>
          <w:sz w:val="14"/>
        </w:rPr>
        <w:t>Chumpon</w:t>
      </w:r>
      <w:proofErr w:type="spellEnd"/>
      <w:r w:rsidR="008F0295">
        <w:rPr>
          <w:rFonts w:ascii="Arial"/>
          <w:sz w:val="14"/>
        </w:rPr>
        <w:t xml:space="preserve"> </w:t>
      </w:r>
      <w:proofErr w:type="spellStart"/>
      <w:r w:rsidR="008F0295">
        <w:rPr>
          <w:rFonts w:ascii="Arial"/>
          <w:sz w:val="14"/>
        </w:rPr>
        <w:t>Wilasrusmee</w:t>
      </w:r>
      <w:proofErr w:type="spellEnd"/>
      <w:r w:rsidR="008F0295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has h</w:t>
      </w:r>
      <w:r w:rsidR="008F0295">
        <w:rPr>
          <w:rFonts w:ascii="Arial"/>
          <w:sz w:val="14"/>
        </w:rPr>
        <w:t>is</w:t>
      </w:r>
      <w:r>
        <w:rPr>
          <w:rFonts w:ascii="Arial"/>
          <w:sz w:val="14"/>
        </w:rPr>
        <w:t xml:space="preserve"> expertise in </w:t>
      </w:r>
      <w:r w:rsidR="008F0295">
        <w:rPr>
          <w:rFonts w:ascii="Arial"/>
          <w:sz w:val="14"/>
        </w:rPr>
        <w:t>wound care and vascular surgery</w:t>
      </w:r>
      <w:r>
        <w:rPr>
          <w:rFonts w:ascii="Arial"/>
          <w:sz w:val="14"/>
        </w:rPr>
        <w:t xml:space="preserve">. </w:t>
      </w:r>
      <w:r w:rsidR="008F0295">
        <w:rPr>
          <w:rFonts w:ascii="Arial"/>
          <w:sz w:val="14"/>
        </w:rPr>
        <w:t>His works</w:t>
      </w:r>
      <w:r>
        <w:rPr>
          <w:rFonts w:ascii="Arial"/>
          <w:sz w:val="14"/>
        </w:rPr>
        <w:t xml:space="preserve"> based on </w:t>
      </w:r>
      <w:r w:rsidR="008F0295">
        <w:rPr>
          <w:rFonts w:ascii="Arial"/>
          <w:sz w:val="14"/>
        </w:rPr>
        <w:t>constructed meta-analysis to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creates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new</w:t>
      </w:r>
      <w:r w:rsidR="000E2911">
        <w:rPr>
          <w:rFonts w:ascii="Arial"/>
          <w:sz w:val="14"/>
        </w:rPr>
        <w:t xml:space="preserve"> </w:t>
      </w:r>
      <w:r w:rsidR="008F0295">
        <w:rPr>
          <w:rFonts w:ascii="Arial"/>
          <w:sz w:val="14"/>
        </w:rPr>
        <w:t>evidences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for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improving</w:t>
      </w:r>
      <w:r w:rsidR="000E2911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healthcare.</w:t>
      </w:r>
    </w:p>
    <w:p w14:paraId="4F64A16E" w14:textId="7635B91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F0295" w:rsidRPr="008F0295">
        <w:rPr>
          <w:rFonts w:ascii="Arial"/>
          <w:sz w:val="14"/>
        </w:rPr>
        <w:t>chumpon.wil@mahidol.a</w:t>
      </w:r>
      <w:r w:rsidR="008F0295">
        <w:rPr>
          <w:rFonts w:ascii="Arial"/>
          <w:sz w:val="14"/>
        </w:rPr>
        <w:t>c.th</w:t>
      </w:r>
    </w:p>
    <w:p w14:paraId="6291E395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DA75CFA" wp14:editId="08A6B15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8C4FA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11D4B72E" w14:textId="77777777" w:rsidR="00AE3E37" w:rsidRDefault="00AE3E37">
      <w:pPr>
        <w:pStyle w:val="BodyText"/>
        <w:rPr>
          <w:rFonts w:ascii="Arial"/>
          <w:sz w:val="20"/>
        </w:rPr>
      </w:pPr>
    </w:p>
    <w:p w14:paraId="28841057" w14:textId="77777777" w:rsidR="00AE3E37" w:rsidRDefault="00AE3E37">
      <w:pPr>
        <w:pStyle w:val="BodyText"/>
        <w:rPr>
          <w:rFonts w:ascii="Arial"/>
          <w:sz w:val="20"/>
        </w:rPr>
      </w:pPr>
    </w:p>
    <w:p w14:paraId="6D73AF05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62FB33E8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A0330B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2E2FB" w14:textId="77777777" w:rsidR="00FD38B6" w:rsidRDefault="00FD38B6">
      <w:r>
        <w:separator/>
      </w:r>
    </w:p>
  </w:endnote>
  <w:endnote w:type="continuationSeparator" w:id="0">
    <w:p w14:paraId="1FE066CF" w14:textId="77777777" w:rsidR="00FD38B6" w:rsidRDefault="00FD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277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CD7EF10" wp14:editId="72FB015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E84E9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41CE6D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D7EF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DE84E9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41CE6D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26F6037" wp14:editId="25CAF05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8C3CC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3044FBF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F603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248C3CC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3044FBF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57291E4" wp14:editId="4753CDB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25068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D7746F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7291E4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4E25068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D7746F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42B37" w14:textId="77777777" w:rsidR="00FD38B6" w:rsidRDefault="00FD38B6">
      <w:r>
        <w:separator/>
      </w:r>
    </w:p>
  </w:footnote>
  <w:footnote w:type="continuationSeparator" w:id="0">
    <w:p w14:paraId="4804DE57" w14:textId="77777777" w:rsidR="00FD38B6" w:rsidRDefault="00FD3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3AFB7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9EED281" wp14:editId="6A0E8776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6CE7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EED28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7506CE7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A6FA996" wp14:editId="38C9B2A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1AA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D4B1C83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FA99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5151E1AA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D4B1C83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8F0295"/>
    <w:rsid w:val="009B2D44"/>
    <w:rsid w:val="00A07E82"/>
    <w:rsid w:val="00A9710C"/>
    <w:rsid w:val="00AE3E37"/>
    <w:rsid w:val="00B21A57"/>
    <w:rsid w:val="00C33602"/>
    <w:rsid w:val="00CD6F55"/>
    <w:rsid w:val="00D62425"/>
    <w:rsid w:val="00DD6C13"/>
    <w:rsid w:val="00DE3104"/>
    <w:rsid w:val="00F72EEA"/>
    <w:rsid w:val="00F8136A"/>
    <w:rsid w:val="00F84CAE"/>
    <w:rsid w:val="00FD38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5F70A4"/>
  <w15:docId w15:val="{BC0E88AE-3AE1-47FA-ADF7-A5336DFC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DD6C13"/>
    <w:pPr>
      <w:widowControl/>
      <w:spacing w:after="160"/>
    </w:pPr>
    <w:rPr>
      <w:rFonts w:ascii="Calibri" w:eastAsiaTheme="minorHAnsi" w:hAnsi="Calibri" w:cs="Calibri"/>
      <w:noProof/>
      <w:szCs w:val="28"/>
      <w:lang w:bidi="th-TH"/>
    </w:rPr>
  </w:style>
  <w:style w:type="character" w:customStyle="1" w:styleId="EndNoteBibliographyChar">
    <w:name w:val="EndNote Bibliography Char"/>
    <w:basedOn w:val="DefaultParagraphFont"/>
    <w:link w:val="EndNoteBibliography"/>
    <w:rsid w:val="00DD6C13"/>
    <w:rPr>
      <w:rFonts w:ascii="Calibri" w:hAnsi="Calibri" w:cs="Calibri"/>
      <w:noProof/>
      <w:szCs w:val="28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Vimut Surgery</cp:lastModifiedBy>
  <cp:revision>2</cp:revision>
  <dcterms:created xsi:type="dcterms:W3CDTF">2023-11-09T12:29:00Z</dcterms:created>
  <dcterms:modified xsi:type="dcterms:W3CDTF">2023-11-09T12:29:00Z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