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39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6"/>
      </w:tblGrid>
      <w:tr w:rsidR="00E14D10" w:rsidRPr="00E14D10" w:rsidTr="00E14D10">
        <w:trPr>
          <w:tblCellSpacing w:w="15" w:type="dxa"/>
        </w:trPr>
        <w:tc>
          <w:tcPr>
            <w:tcW w:w="4968" w:type="pct"/>
            <w:tcMar>
              <w:top w:w="0" w:type="dxa"/>
              <w:left w:w="0" w:type="dxa"/>
              <w:bottom w:w="375" w:type="dxa"/>
              <w:right w:w="0" w:type="dxa"/>
            </w:tcMar>
            <w:vAlign w:val="center"/>
            <w:hideMark/>
          </w:tcPr>
          <w:p w:rsidR="00E14D10" w:rsidRPr="00E14D10" w:rsidRDefault="00E14D10" w:rsidP="00E14D10">
            <w:pPr>
              <w:spacing w:before="100" w:beforeAutospacing="1" w:after="100" w:afterAutospacing="1" w:line="240" w:lineRule="auto"/>
              <w:outlineLvl w:val="0"/>
              <w:rPr>
                <w:rFonts w:ascii="Segoe UI" w:eastAsia="Times New Roman" w:hAnsi="Segoe UI" w:cs="Segoe UI"/>
                <w:b/>
                <w:bCs/>
                <w:color w:val="3F454C"/>
                <w:kern w:val="36"/>
                <w:sz w:val="24"/>
                <w:szCs w:val="24"/>
                <w:lang w:val="en-US" w:eastAsia="de-DE"/>
              </w:rPr>
            </w:pPr>
            <w:proofErr w:type="spellStart"/>
            <w:r w:rsidRPr="00E14D10">
              <w:rPr>
                <w:rFonts w:ascii="Segoe UI" w:eastAsia="Times New Roman" w:hAnsi="Segoe UI" w:cs="Segoe UI"/>
                <w:b/>
                <w:bCs/>
                <w:color w:val="3F454C"/>
                <w:kern w:val="36"/>
                <w:sz w:val="24"/>
                <w:szCs w:val="24"/>
                <w:lang w:val="en-US" w:eastAsia="de-DE"/>
              </w:rPr>
              <w:t>Stentgrafts</w:t>
            </w:r>
            <w:proofErr w:type="spellEnd"/>
            <w:r w:rsidRPr="00E14D10">
              <w:rPr>
                <w:rFonts w:ascii="Segoe UI" w:eastAsia="Times New Roman" w:hAnsi="Segoe UI" w:cs="Segoe UI"/>
                <w:b/>
                <w:bCs/>
                <w:color w:val="3F454C"/>
                <w:kern w:val="36"/>
                <w:sz w:val="24"/>
                <w:szCs w:val="24"/>
                <w:lang w:val="en-US" w:eastAsia="de-DE"/>
              </w:rPr>
              <w:t> as an endovascular option for hemodialysis-related venous occlusive disease (VOD).</w:t>
            </w:r>
          </w:p>
          <w:p w:rsidR="00E14D10" w:rsidRPr="00E14D10" w:rsidRDefault="00E14D10" w:rsidP="00E14D10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</w:pPr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u w:val="single"/>
                <w:lang w:eastAsia="de-DE"/>
              </w:rPr>
              <w:t>T.M. Steinke</w:t>
            </w:r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t xml:space="preserve">, L. Nuth </w:t>
            </w:r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br/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t>Vascular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t xml:space="preserve"> </w:t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t>and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t xml:space="preserve"> </w:t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t>Endovascular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t xml:space="preserve"> </w:t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t>Surgery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t xml:space="preserve">, </w:t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t>Schoen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t xml:space="preserve"> Klinik </w:t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t>Duesseldorf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t xml:space="preserve">, </w:t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t>Duesseldorf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  <w:t>, DE</w:t>
            </w:r>
          </w:p>
          <w:tbl>
            <w:tblPr>
              <w:tblW w:w="5000" w:type="pct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26"/>
            </w:tblGrid>
            <w:tr w:rsidR="00E14D10" w:rsidRPr="00DD0F23" w:rsidTr="00DD0F2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E14D10" w:rsidRPr="00E14D10" w:rsidRDefault="00E14D10" w:rsidP="00E14D1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3F454C"/>
                      <w:sz w:val="23"/>
                      <w:szCs w:val="23"/>
                      <w:lang w:val="en-US" w:eastAsia="de-DE"/>
                    </w:rPr>
                  </w:pPr>
                </w:p>
              </w:tc>
            </w:tr>
            <w:tr w:rsidR="00E14D10" w:rsidRPr="00E14D10" w:rsidTr="00DD0F23">
              <w:trPr>
                <w:trHeight w:val="351"/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E14D10" w:rsidRPr="00E14D10" w:rsidRDefault="00E14D10" w:rsidP="00E14D10">
                  <w:pPr>
                    <w:spacing w:after="0" w:line="240" w:lineRule="auto"/>
                    <w:rPr>
                      <w:rFonts w:ascii="Segoe UI" w:eastAsia="Times New Roman" w:hAnsi="Segoe UI" w:cs="Segoe UI"/>
                      <w:color w:val="3F454C"/>
                      <w:sz w:val="23"/>
                      <w:szCs w:val="23"/>
                      <w:lang w:eastAsia="de-DE"/>
                    </w:rPr>
                  </w:pPr>
                </w:p>
              </w:tc>
              <w:bookmarkStart w:id="0" w:name="_GoBack"/>
              <w:bookmarkEnd w:id="0"/>
            </w:tr>
          </w:tbl>
          <w:p w:rsidR="00E14D10" w:rsidRPr="00E14D10" w:rsidRDefault="00E14D10" w:rsidP="00E14D10">
            <w:pPr>
              <w:spacing w:after="0" w:line="240" w:lineRule="auto"/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</w:pPr>
          </w:p>
        </w:tc>
      </w:tr>
      <w:tr w:rsidR="00E14D10" w:rsidRPr="00E14D10" w:rsidTr="00E14D10">
        <w:trPr>
          <w:tblCellSpacing w:w="15" w:type="dxa"/>
          <w:hidden/>
        </w:trPr>
        <w:tc>
          <w:tcPr>
            <w:tcW w:w="4968" w:type="pct"/>
            <w:vAlign w:val="center"/>
          </w:tcPr>
          <w:p w:rsidR="00E14D10" w:rsidRPr="00E14D10" w:rsidRDefault="00E14D10" w:rsidP="00E14D10">
            <w:pPr>
              <w:spacing w:after="0" w:line="240" w:lineRule="auto"/>
              <w:rPr>
                <w:rFonts w:ascii="Segoe UI" w:eastAsia="Times New Roman" w:hAnsi="Segoe UI" w:cs="Segoe UI"/>
                <w:vanish/>
                <w:color w:val="3F454C"/>
                <w:sz w:val="23"/>
                <w:szCs w:val="23"/>
                <w:lang w:eastAsia="de-DE"/>
              </w:rPr>
            </w:pPr>
          </w:p>
        </w:tc>
      </w:tr>
      <w:tr w:rsidR="00E14D10" w:rsidRPr="00E14D10" w:rsidTr="00E14D10">
        <w:trPr>
          <w:trHeight w:val="375"/>
          <w:tblCellSpacing w:w="15" w:type="dxa"/>
        </w:trPr>
        <w:tc>
          <w:tcPr>
            <w:tcW w:w="4968" w:type="pct"/>
            <w:vAlign w:val="center"/>
            <w:hideMark/>
          </w:tcPr>
          <w:p w:rsidR="00E14D10" w:rsidRPr="00E14D10" w:rsidRDefault="00E14D10" w:rsidP="00E14D10">
            <w:pPr>
              <w:spacing w:after="0" w:line="240" w:lineRule="auto"/>
              <w:rPr>
                <w:rFonts w:ascii="Segoe UI" w:eastAsia="Times New Roman" w:hAnsi="Segoe UI" w:cs="Segoe UI"/>
                <w:color w:val="3F454C"/>
                <w:sz w:val="23"/>
                <w:szCs w:val="23"/>
                <w:lang w:eastAsia="de-DE"/>
              </w:rPr>
            </w:pPr>
          </w:p>
        </w:tc>
      </w:tr>
      <w:tr w:rsidR="00E14D10" w:rsidRPr="00DD0F23" w:rsidTr="00E14D10">
        <w:trPr>
          <w:tblCellSpacing w:w="15" w:type="dxa"/>
        </w:trPr>
        <w:tc>
          <w:tcPr>
            <w:tcW w:w="4968" w:type="pct"/>
            <w:tcBorders>
              <w:top w:val="single" w:sz="6" w:space="0" w:color="AFB2B5"/>
              <w:bottom w:val="single" w:sz="6" w:space="0" w:color="AFB2B5"/>
            </w:tcBorders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  <w:hideMark/>
          </w:tcPr>
          <w:p w:rsidR="00E14D10" w:rsidRPr="00E14D10" w:rsidRDefault="00E14D10" w:rsidP="00E14D10">
            <w:pPr>
              <w:spacing w:after="0" w:line="240" w:lineRule="auto"/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</w:pPr>
            <w:r w:rsidRPr="00E14D10">
              <w:rPr>
                <w:rFonts w:ascii="Segoe UI" w:eastAsia="Times New Roman" w:hAnsi="Segoe UI" w:cs="Segoe UI"/>
                <w:b/>
                <w:bCs/>
                <w:color w:val="3F454C"/>
                <w:sz w:val="23"/>
                <w:szCs w:val="23"/>
                <w:lang w:val="en-US" w:eastAsia="de-DE"/>
              </w:rPr>
              <w:t>Purpose</w:t>
            </w:r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 xml:space="preserve"> </w:t>
            </w:r>
          </w:p>
          <w:p w:rsidR="00E14D10" w:rsidRPr="00E14D10" w:rsidRDefault="00E14D10" w:rsidP="00E14D10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</w:pPr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This prospective single center observational registry evaluated the efficacy and durability of a new covered stent (</w:t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Covera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 xml:space="preserve">/ </w:t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CRBard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) in treating VOD to preserve a functional dialysis access circuit.</w:t>
            </w:r>
          </w:p>
          <w:p w:rsidR="00E14D10" w:rsidRPr="00E14D10" w:rsidRDefault="00E14D10" w:rsidP="00E14D10">
            <w:pPr>
              <w:spacing w:after="0" w:line="240" w:lineRule="auto"/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</w:pPr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br w:type="textWrapping" w:clear="all"/>
            </w:r>
            <w:r w:rsidRPr="00E14D10">
              <w:rPr>
                <w:rFonts w:ascii="Segoe UI" w:eastAsia="Times New Roman" w:hAnsi="Segoe UI" w:cs="Segoe UI"/>
                <w:b/>
                <w:bCs/>
                <w:color w:val="3F454C"/>
                <w:sz w:val="23"/>
                <w:szCs w:val="23"/>
                <w:lang w:val="en-US" w:eastAsia="de-DE"/>
              </w:rPr>
              <w:t>Material and methods</w:t>
            </w:r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 xml:space="preserve"> </w:t>
            </w:r>
          </w:p>
          <w:p w:rsidR="00E14D10" w:rsidRPr="00E14D10" w:rsidRDefault="00E14D10" w:rsidP="00E14D10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</w:pPr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In 53 patients (45</w:t>
            </w:r>
            <w:proofErr w:type="gram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,3</w:t>
            </w:r>
            <w:proofErr w:type="gram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% men; mean age 67,4 years, 28-89 years) with VOD, covered stents (</w:t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Covera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 xml:space="preserve">, </w:t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CRBard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 xml:space="preserve">) were used to treat symptomatic venous stenosis or to enable </w:t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av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 xml:space="preserve">-access functionality. The target lesion was accessed via the dialysis access site. The </w:t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Covera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 xml:space="preserve"> covered stent (BD/Bard Peripheral Vascular) was implanted in all patients. </w:t>
            </w:r>
          </w:p>
          <w:p w:rsidR="00E14D10" w:rsidRPr="00E14D10" w:rsidRDefault="00E14D10" w:rsidP="00E14D10">
            <w:pPr>
              <w:spacing w:after="0" w:line="240" w:lineRule="auto"/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</w:pPr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br w:type="textWrapping" w:clear="all"/>
            </w:r>
            <w:r w:rsidRPr="00E14D10">
              <w:rPr>
                <w:rFonts w:ascii="Segoe UI" w:eastAsia="Times New Roman" w:hAnsi="Segoe UI" w:cs="Segoe UI"/>
                <w:b/>
                <w:bCs/>
                <w:color w:val="3F454C"/>
                <w:sz w:val="23"/>
                <w:szCs w:val="23"/>
                <w:lang w:val="en-US" w:eastAsia="de-DE"/>
              </w:rPr>
              <w:t>Results</w:t>
            </w:r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 xml:space="preserve"> </w:t>
            </w:r>
          </w:p>
          <w:p w:rsidR="00E14D10" w:rsidRPr="00E14D10" w:rsidRDefault="00E14D10" w:rsidP="00E14D10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</w:pPr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Technical success was 100%. Target lesion primary patency (PP) at 6 month was 86 %. Mean follow up was 6</w:t>
            </w:r>
            <w:proofErr w:type="gram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,9</w:t>
            </w:r>
            <w:proofErr w:type="gram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 xml:space="preserve"> month. Study Population Mortality was 5 % at 6 month. Secondary patency (SP), access circuit patency rates (ACP), additional procedures for access salvage and subgroup analysis of different locations of </w:t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stentgraft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 xml:space="preserve"> implantation (central, cephalic arch, outflow and </w:t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canulation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 xml:space="preserve"> zone) are reported.</w:t>
            </w:r>
          </w:p>
          <w:p w:rsidR="00E14D10" w:rsidRPr="00E14D10" w:rsidRDefault="00E14D10" w:rsidP="00E14D10">
            <w:pPr>
              <w:spacing w:after="0" w:line="240" w:lineRule="auto"/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</w:pPr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br w:type="textWrapping" w:clear="all"/>
            </w:r>
            <w:r w:rsidRPr="00E14D10">
              <w:rPr>
                <w:rFonts w:ascii="Segoe UI" w:eastAsia="Times New Roman" w:hAnsi="Segoe UI" w:cs="Segoe UI"/>
                <w:b/>
                <w:bCs/>
                <w:color w:val="3F454C"/>
                <w:sz w:val="23"/>
                <w:szCs w:val="23"/>
                <w:lang w:val="en-US" w:eastAsia="de-DE"/>
              </w:rPr>
              <w:t>Conclusion</w:t>
            </w:r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 xml:space="preserve"> </w:t>
            </w:r>
          </w:p>
          <w:p w:rsidR="00E14D10" w:rsidRPr="00E14D10" w:rsidRDefault="00E14D10" w:rsidP="00E14D10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</w:pPr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 xml:space="preserve">Placement of covered stents for hemodialysis-related VOD is safe, relieved symptoms, and enabled functionality of dialysis </w:t>
            </w:r>
            <w:proofErr w:type="spellStart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av</w:t>
            </w:r>
            <w:proofErr w:type="spellEnd"/>
            <w:r w:rsidRPr="00E14D10">
              <w:rPr>
                <w:rFonts w:ascii="Segoe UI" w:eastAsia="Times New Roman" w:hAnsi="Segoe UI" w:cs="Segoe UI"/>
                <w:color w:val="3F454C"/>
                <w:sz w:val="23"/>
                <w:szCs w:val="23"/>
                <w:lang w:val="en-US" w:eastAsia="de-DE"/>
              </w:rPr>
              <w:t>-access circuits. There is a need for prospective and randomized studies to determine whether and where covered stents provide superior long-term results to those achieved with PTA and DCB-PTA.</w:t>
            </w:r>
          </w:p>
        </w:tc>
      </w:tr>
    </w:tbl>
    <w:p w:rsidR="00F97EC5" w:rsidRPr="00E14D10" w:rsidRDefault="00DD0F23">
      <w:pPr>
        <w:rPr>
          <w:lang w:val="en-US"/>
        </w:rPr>
      </w:pPr>
    </w:p>
    <w:sectPr w:rsidR="00F97EC5" w:rsidRPr="00E14D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10"/>
    <w:rsid w:val="001770CB"/>
    <w:rsid w:val="00CF6077"/>
    <w:rsid w:val="00DD0F23"/>
    <w:rsid w:val="00E1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E14D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4D10"/>
    <w:rPr>
      <w:rFonts w:ascii="Times New Roman" w:eastAsia="Times New Roman" w:hAnsi="Times New Roman" w:cs="Times New Roman"/>
      <w:b/>
      <w:bCs/>
      <w:kern w:val="36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E14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E14D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4D10"/>
    <w:rPr>
      <w:rFonts w:ascii="Times New Roman" w:eastAsia="Times New Roman" w:hAnsi="Times New Roman" w:cs="Times New Roman"/>
      <w:b/>
      <w:bCs/>
      <w:kern w:val="36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E14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928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3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56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7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60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33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1C7426FE</Template>
  <TotalTime>0</TotalTime>
  <Pages>1</Pages>
  <Words>207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Schön Klinik</Company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Steinke, Tobias</dc:creator>
  <cp:lastModifiedBy>Steinke, Tobias</cp:lastModifiedBy>
  <cp:revision>2</cp:revision>
  <dcterms:created xsi:type="dcterms:W3CDTF">2019-02-10T12:51:00Z</dcterms:created>
  <dcterms:modified xsi:type="dcterms:W3CDTF">2019-02-12T17:04:00Z</dcterms:modified>
</cp:coreProperties>
</file>