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D95B0" w14:textId="77777777" w:rsidR="00343F53" w:rsidRPr="00343F53" w:rsidRDefault="00343F53" w:rsidP="00343F53">
      <w:pPr>
        <w:rPr>
          <w:rFonts w:ascii="Century" w:hAnsi="Century"/>
          <w:color w:val="00B0F0"/>
          <w:sz w:val="36"/>
          <w:szCs w:val="36"/>
          <w:shd w:val="clear" w:color="auto" w:fill="FFFFFF"/>
        </w:rPr>
      </w:pPr>
      <w:r w:rsidRPr="00343F53">
        <w:rPr>
          <w:rFonts w:ascii="Century" w:hAnsi="Century" w:hint="eastAsia"/>
          <w:color w:val="00B0F0"/>
          <w:sz w:val="36"/>
          <w:szCs w:val="36"/>
          <w:shd w:val="clear" w:color="auto" w:fill="FFFFFF"/>
        </w:rPr>
        <w:t>Acute EC-IC bypass for ruptured ICA blood blister-like aneurysms (BBAs)</w:t>
      </w:r>
    </w:p>
    <w:p w14:paraId="54D6F367" w14:textId="77777777" w:rsidR="00343F53" w:rsidRPr="0051350F" w:rsidRDefault="00343F53" w:rsidP="00343F53">
      <w:pPr>
        <w:widowControl/>
        <w:autoSpaceDE w:val="0"/>
        <w:autoSpaceDN w:val="0"/>
        <w:adjustRightInd w:val="0"/>
        <w:rPr>
          <w:rFonts w:ascii="Century Gothic" w:hAnsi="Century Gothic"/>
          <w:sz w:val="20"/>
          <w:szCs w:val="20"/>
        </w:rPr>
      </w:pPr>
      <w:r w:rsidRPr="0051350F">
        <w:rPr>
          <w:rFonts w:ascii="Century Gothic" w:hAnsi="Century Gothic" w:cs="Times New Roman"/>
          <w:sz w:val="20"/>
          <w:szCs w:val="20"/>
        </w:rPr>
        <w:t>Yasushi Ueno</w:t>
      </w:r>
      <w:r>
        <w:rPr>
          <w:rFonts w:ascii="Century Gothic" w:hAnsi="Century Gothic" w:cs="Times New Roman"/>
          <w:sz w:val="20"/>
          <w:szCs w:val="20"/>
        </w:rPr>
        <w:t>, MD and PhD</w:t>
      </w:r>
    </w:p>
    <w:p w14:paraId="5544AC5B" w14:textId="77777777" w:rsidR="00343F53" w:rsidRPr="0051350F" w:rsidRDefault="00343F53" w:rsidP="00343F53">
      <w:pPr>
        <w:widowControl/>
        <w:autoSpaceDE w:val="0"/>
        <w:autoSpaceDN w:val="0"/>
        <w:adjustRightInd w:val="0"/>
        <w:rPr>
          <w:rFonts w:ascii="Century Gothic" w:hAnsi="Century Gothic" w:cs="Times New Roman"/>
          <w:color w:val="000000"/>
          <w:sz w:val="20"/>
          <w:szCs w:val="20"/>
        </w:rPr>
      </w:pPr>
      <w:r w:rsidRPr="0051350F">
        <w:rPr>
          <w:rFonts w:ascii="Century Gothic" w:hAnsi="Century Gothic" w:cs="Times New Roman"/>
          <w:color w:val="000000"/>
          <w:sz w:val="20"/>
          <w:szCs w:val="20"/>
        </w:rPr>
        <w:t>Department of Neurosurgery and Stroke Center, Shinko Memorial Hospital,</w:t>
      </w:r>
      <w:r>
        <w:rPr>
          <w:rFonts w:ascii="Century Gothic" w:hAnsi="Century Gothic" w:cs="Times New Roman"/>
          <w:color w:val="000000"/>
          <w:sz w:val="20"/>
          <w:szCs w:val="20"/>
        </w:rPr>
        <w:t xml:space="preserve"> JPN</w:t>
      </w:r>
    </w:p>
    <w:p w14:paraId="4694F527" w14:textId="77777777" w:rsidR="00343F53" w:rsidRDefault="00343F53" w:rsidP="00343F53">
      <w:pPr>
        <w:pStyle w:val="a3"/>
        <w:rPr>
          <w:rFonts w:ascii="Arial"/>
          <w:sz w:val="20"/>
        </w:rPr>
      </w:pPr>
    </w:p>
    <w:p w14:paraId="2CFAE101" w14:textId="77777777" w:rsidR="00F8611B" w:rsidRDefault="00F8611B" w:rsidP="00F8611B">
      <w:pPr>
        <w:pStyle w:val="a3"/>
        <w:rPr>
          <w:rFonts w:ascii="Arial"/>
          <w:sz w:val="20"/>
        </w:rPr>
      </w:pPr>
    </w:p>
    <w:p w14:paraId="2F96A381" w14:textId="77777777" w:rsidR="00F8611B" w:rsidRDefault="00F8611B" w:rsidP="00F8611B">
      <w:pPr>
        <w:pStyle w:val="a3"/>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6A529E34" w14:textId="73BC39D3" w:rsidR="00F8611B" w:rsidRDefault="00F8611B" w:rsidP="00F8611B">
      <w:pPr>
        <w:pStyle w:val="3"/>
        <w:spacing w:before="147"/>
        <w:jc w:val="both"/>
      </w:pPr>
      <w:r>
        <w:rPr>
          <w:color w:val="BF5A14"/>
        </w:rPr>
        <w:t xml:space="preserve">Abstract </w:t>
      </w:r>
    </w:p>
    <w:p w14:paraId="62341DF4" w14:textId="77777777" w:rsidR="00343F53" w:rsidRPr="00343F53" w:rsidRDefault="00343F53" w:rsidP="00343F53">
      <w:pPr>
        <w:rPr>
          <w:rFonts w:ascii="Century" w:hAnsi="Century"/>
          <w:color w:val="000000"/>
          <w:sz w:val="18"/>
          <w:szCs w:val="18"/>
          <w:shd w:val="clear" w:color="auto" w:fill="FFFFFF"/>
        </w:rPr>
      </w:pPr>
      <w:r w:rsidRPr="00343F53">
        <w:rPr>
          <w:rFonts w:ascii="Century" w:hAnsi="Century"/>
          <w:i/>
          <w:color w:val="000000"/>
          <w:sz w:val="18"/>
          <w:szCs w:val="18"/>
          <w:shd w:val="clear" w:color="auto" w:fill="FFFFFF"/>
        </w:rPr>
        <w:t>Object.</w:t>
      </w:r>
      <w:r w:rsidRPr="00343F53">
        <w:rPr>
          <w:rFonts w:ascii="Century" w:hAnsi="Century"/>
          <w:color w:val="000000"/>
          <w:sz w:val="18"/>
          <w:szCs w:val="18"/>
          <w:shd w:val="clear" w:color="auto" w:fill="FFFFFF"/>
        </w:rPr>
        <w:t xml:space="preserve"> Internal carotid artery (ICA) blood blister-like aneurysms (BBAs) have fragile aneurysm walls, poorly defined necks and located at the </w:t>
      </w:r>
      <w:proofErr w:type="spellStart"/>
      <w:r w:rsidRPr="00343F53">
        <w:rPr>
          <w:rFonts w:ascii="Century" w:hAnsi="Century"/>
          <w:color w:val="000000"/>
          <w:sz w:val="18"/>
          <w:szCs w:val="18"/>
          <w:shd w:val="clear" w:color="auto" w:fill="FFFFFF"/>
        </w:rPr>
        <w:t>supraclinoid</w:t>
      </w:r>
      <w:proofErr w:type="spellEnd"/>
      <w:r w:rsidRPr="00343F53">
        <w:rPr>
          <w:rFonts w:ascii="Century" w:hAnsi="Century"/>
          <w:color w:val="000000"/>
          <w:sz w:val="18"/>
          <w:szCs w:val="18"/>
          <w:shd w:val="clear" w:color="auto" w:fill="FFFFFF"/>
        </w:rPr>
        <w:t xml:space="preserve"> ICA with remarkable tendency of preoperative </w:t>
      </w:r>
      <w:proofErr w:type="spellStart"/>
      <w:r w:rsidRPr="00343F53">
        <w:rPr>
          <w:rFonts w:ascii="Century" w:hAnsi="Century"/>
          <w:color w:val="000000"/>
          <w:sz w:val="18"/>
          <w:szCs w:val="18"/>
          <w:shd w:val="clear" w:color="auto" w:fill="FFFFFF"/>
        </w:rPr>
        <w:t>rebleeding</w:t>
      </w:r>
      <w:proofErr w:type="spellEnd"/>
      <w:r w:rsidRPr="00343F53">
        <w:rPr>
          <w:rFonts w:ascii="Century" w:hAnsi="Century"/>
          <w:color w:val="000000"/>
          <w:sz w:val="18"/>
          <w:szCs w:val="18"/>
          <w:shd w:val="clear" w:color="auto" w:fill="FFFFFF"/>
        </w:rPr>
        <w:t xml:space="preserve">, premature rupture during surgery and enlargement of aneurysmal dome in the acute stage, so surgical treatment is extremely challenging. The authors describe the clinical course of patients with subarachnoid hemorrhage (SAH) caused by ruptured BBAs and emphasize the usefulness of parent artery occlusion (PAO) with or without extracranial-intracranial (EC-IC) bypass in the acute SAH period. </w:t>
      </w:r>
      <w:r w:rsidRPr="00343F53">
        <w:rPr>
          <w:rFonts w:ascii="Century" w:hAnsi="Century"/>
          <w:i/>
          <w:color w:val="000000"/>
          <w:sz w:val="18"/>
          <w:szCs w:val="18"/>
          <w:shd w:val="clear" w:color="auto" w:fill="FFFFFF"/>
        </w:rPr>
        <w:t xml:space="preserve">Methods. </w:t>
      </w:r>
      <w:r w:rsidRPr="00343F53">
        <w:rPr>
          <w:rFonts w:ascii="Century" w:hAnsi="Century"/>
          <w:color w:val="000000"/>
          <w:sz w:val="18"/>
          <w:szCs w:val="18"/>
          <w:shd w:val="clear" w:color="auto" w:fill="FFFFFF"/>
        </w:rPr>
        <w:t xml:space="preserve">We analyzed the clinical records of </w:t>
      </w:r>
      <w:r w:rsidRPr="00343F53">
        <w:rPr>
          <w:rFonts w:ascii="Century" w:hAnsi="Century" w:hint="eastAsia"/>
          <w:color w:val="000000"/>
          <w:sz w:val="18"/>
          <w:szCs w:val="18"/>
          <w:shd w:val="clear" w:color="auto" w:fill="FFFFFF"/>
        </w:rPr>
        <w:t>18</w:t>
      </w:r>
      <w:r w:rsidRPr="00343F53">
        <w:rPr>
          <w:rFonts w:ascii="Century" w:hAnsi="Century"/>
          <w:color w:val="000000"/>
          <w:sz w:val="18"/>
          <w:szCs w:val="18"/>
          <w:shd w:val="clear" w:color="auto" w:fill="FFFFFF"/>
        </w:rPr>
        <w:t xml:space="preserve"> consecutive patients (8 male and 8 female) with a mean age of 56 years (range 29-88 years) treated between January 2005 and December </w:t>
      </w:r>
      <w:proofErr w:type="gramStart"/>
      <w:r w:rsidRPr="00343F53">
        <w:rPr>
          <w:rFonts w:ascii="Century" w:hAnsi="Century"/>
          <w:color w:val="000000"/>
          <w:sz w:val="18"/>
          <w:szCs w:val="18"/>
          <w:shd w:val="clear" w:color="auto" w:fill="FFFFFF"/>
        </w:rPr>
        <w:t>20</w:t>
      </w:r>
      <w:r w:rsidRPr="00343F53">
        <w:rPr>
          <w:rFonts w:ascii="Century" w:hAnsi="Century" w:hint="eastAsia"/>
          <w:color w:val="000000"/>
          <w:sz w:val="18"/>
          <w:szCs w:val="18"/>
          <w:shd w:val="clear" w:color="auto" w:fill="FFFFFF"/>
        </w:rPr>
        <w:t>1</w:t>
      </w:r>
      <w:r w:rsidRPr="00343F53">
        <w:rPr>
          <w:rFonts w:ascii="Century" w:hAnsi="Century"/>
          <w:color w:val="000000"/>
          <w:sz w:val="18"/>
          <w:szCs w:val="18"/>
          <w:shd w:val="clear" w:color="auto" w:fill="FFFFFF"/>
        </w:rPr>
        <w:t>6 .</w:t>
      </w:r>
      <w:proofErr w:type="gramEnd"/>
      <w:r w:rsidRPr="00343F53">
        <w:rPr>
          <w:rFonts w:ascii="Century" w:hAnsi="Century"/>
          <w:color w:val="000000"/>
          <w:sz w:val="18"/>
          <w:szCs w:val="18"/>
          <w:shd w:val="clear" w:color="auto" w:fill="FFFFFF"/>
        </w:rPr>
        <w:t xml:space="preserve"> </w:t>
      </w:r>
      <w:r w:rsidRPr="00343F53">
        <w:rPr>
          <w:rFonts w:ascii="Century" w:hAnsi="Century"/>
          <w:i/>
          <w:color w:val="000000"/>
          <w:sz w:val="18"/>
          <w:szCs w:val="18"/>
          <w:shd w:val="clear" w:color="auto" w:fill="FFFFFF"/>
        </w:rPr>
        <w:t>Results</w:t>
      </w:r>
      <w:r w:rsidRPr="00343F53">
        <w:rPr>
          <w:rFonts w:ascii="Century" w:hAnsi="Century"/>
          <w:color w:val="000000"/>
          <w:sz w:val="18"/>
          <w:szCs w:val="18"/>
          <w:shd w:val="clear" w:color="auto" w:fill="FFFFFF"/>
        </w:rPr>
        <w:t xml:space="preserve">. All </w:t>
      </w:r>
      <w:r w:rsidRPr="00343F53">
        <w:rPr>
          <w:rFonts w:ascii="Century" w:hAnsi="Century" w:hint="eastAsia"/>
          <w:color w:val="000000"/>
          <w:sz w:val="18"/>
          <w:szCs w:val="18"/>
          <w:shd w:val="clear" w:color="auto" w:fill="FFFFFF"/>
        </w:rPr>
        <w:t>18</w:t>
      </w:r>
      <w:r w:rsidRPr="00343F53">
        <w:rPr>
          <w:rFonts w:ascii="Century" w:hAnsi="Century"/>
          <w:color w:val="000000"/>
          <w:sz w:val="18"/>
          <w:szCs w:val="18"/>
          <w:shd w:val="clear" w:color="auto" w:fill="FFFFFF"/>
        </w:rPr>
        <w:t xml:space="preserve"> patients presented with SAHs corresponding to World Federation of Neurosurgical Societies Grades </w:t>
      </w:r>
      <w:proofErr w:type="gramStart"/>
      <w:r w:rsidRPr="00343F53">
        <w:rPr>
          <w:rFonts w:ascii="Century" w:hAnsi="Century"/>
          <w:color w:val="000000"/>
          <w:sz w:val="18"/>
          <w:szCs w:val="18"/>
          <w:shd w:val="clear" w:color="auto" w:fill="FFFFFF"/>
        </w:rPr>
        <w:t>I,II</w:t>
      </w:r>
      <w:proofErr w:type="gramEnd"/>
      <w:r w:rsidRPr="00343F53">
        <w:rPr>
          <w:rFonts w:ascii="Century" w:hAnsi="Century"/>
          <w:color w:val="000000"/>
          <w:sz w:val="18"/>
          <w:szCs w:val="18"/>
          <w:shd w:val="clear" w:color="auto" w:fill="FFFFFF"/>
        </w:rPr>
        <w:t xml:space="preserve">, III, IV, and V in </w:t>
      </w:r>
      <w:r w:rsidRPr="00343F53">
        <w:rPr>
          <w:rFonts w:ascii="Century" w:hAnsi="Century" w:hint="eastAsia"/>
          <w:color w:val="000000"/>
          <w:sz w:val="18"/>
          <w:szCs w:val="18"/>
          <w:shd w:val="clear" w:color="auto" w:fill="FFFFFF"/>
        </w:rPr>
        <w:t>6</w:t>
      </w:r>
      <w:r w:rsidRPr="00343F53">
        <w:rPr>
          <w:rFonts w:ascii="Century" w:hAnsi="Century"/>
          <w:color w:val="000000"/>
          <w:sz w:val="18"/>
          <w:szCs w:val="18"/>
          <w:shd w:val="clear" w:color="auto" w:fill="FFFFFF"/>
        </w:rPr>
        <w:t xml:space="preserve">, 3, 3, 2 and 4 patient, respectively. All surgery was performed in the acute stage but in 4 of </w:t>
      </w:r>
      <w:r w:rsidRPr="00343F53">
        <w:rPr>
          <w:rFonts w:ascii="Century" w:hAnsi="Century" w:hint="eastAsia"/>
          <w:color w:val="000000"/>
          <w:sz w:val="18"/>
          <w:szCs w:val="18"/>
          <w:shd w:val="clear" w:color="auto" w:fill="FFFFFF"/>
        </w:rPr>
        <w:t>18</w:t>
      </w:r>
      <w:r w:rsidRPr="00343F53">
        <w:rPr>
          <w:rFonts w:ascii="Century" w:hAnsi="Century"/>
          <w:color w:val="000000"/>
          <w:sz w:val="18"/>
          <w:szCs w:val="18"/>
          <w:shd w:val="clear" w:color="auto" w:fill="FFFFFF"/>
        </w:rPr>
        <w:t xml:space="preserve"> cases we cannot identified BBAs immediately after onset. 3 of the </w:t>
      </w:r>
      <w:r w:rsidRPr="00343F53">
        <w:rPr>
          <w:rFonts w:ascii="Century" w:hAnsi="Century" w:hint="eastAsia"/>
          <w:color w:val="000000"/>
          <w:sz w:val="18"/>
          <w:szCs w:val="18"/>
          <w:shd w:val="clear" w:color="auto" w:fill="FFFFFF"/>
        </w:rPr>
        <w:t>18</w:t>
      </w:r>
      <w:r w:rsidRPr="00343F53">
        <w:rPr>
          <w:rFonts w:ascii="Century" w:hAnsi="Century"/>
          <w:color w:val="000000"/>
          <w:sz w:val="18"/>
          <w:szCs w:val="18"/>
          <w:shd w:val="clear" w:color="auto" w:fill="FFFFFF"/>
        </w:rPr>
        <w:t xml:space="preserve"> experienced preoperative </w:t>
      </w:r>
      <w:proofErr w:type="spellStart"/>
      <w:r w:rsidRPr="00343F53">
        <w:rPr>
          <w:rFonts w:ascii="Century" w:hAnsi="Century"/>
          <w:color w:val="000000"/>
          <w:sz w:val="18"/>
          <w:szCs w:val="18"/>
          <w:shd w:val="clear" w:color="auto" w:fill="FFFFFF"/>
        </w:rPr>
        <w:t>rebleeding</w:t>
      </w:r>
      <w:proofErr w:type="spellEnd"/>
      <w:r w:rsidRPr="00343F53">
        <w:rPr>
          <w:rFonts w:ascii="Century" w:hAnsi="Century"/>
          <w:color w:val="000000"/>
          <w:sz w:val="18"/>
          <w:szCs w:val="18"/>
          <w:shd w:val="clear" w:color="auto" w:fill="FFFFFF"/>
        </w:rPr>
        <w:t xml:space="preserve">, and repeated angiography revealed remarkable enlargement of the aneurysm. </w:t>
      </w:r>
      <w:r w:rsidRPr="00343F53">
        <w:rPr>
          <w:rFonts w:ascii="Century" w:hAnsi="Century" w:hint="eastAsia"/>
          <w:color w:val="000000"/>
          <w:sz w:val="18"/>
          <w:szCs w:val="18"/>
          <w:shd w:val="clear" w:color="auto" w:fill="FFFFFF"/>
        </w:rPr>
        <w:t>8</w:t>
      </w:r>
      <w:r w:rsidRPr="00343F53">
        <w:rPr>
          <w:rFonts w:ascii="Century" w:hAnsi="Century"/>
          <w:color w:val="000000"/>
          <w:sz w:val="18"/>
          <w:szCs w:val="18"/>
          <w:shd w:val="clear" w:color="auto" w:fill="FFFFFF"/>
        </w:rPr>
        <w:t xml:space="preserve"> patients underwent PAO with bypass, 6 without bypass and 4 underwent interventional aneurysmal coil embolization. The outcome was excellent and postoperative angiography demonstrated complete obliteration of the BBA in </w:t>
      </w:r>
      <w:r w:rsidRPr="00343F53">
        <w:rPr>
          <w:rFonts w:ascii="Century" w:hAnsi="Century" w:hint="eastAsia"/>
          <w:color w:val="000000"/>
          <w:sz w:val="18"/>
          <w:szCs w:val="18"/>
          <w:shd w:val="clear" w:color="auto" w:fill="FFFFFF"/>
        </w:rPr>
        <w:t>8</w:t>
      </w:r>
      <w:r w:rsidRPr="00343F53">
        <w:rPr>
          <w:rFonts w:ascii="Century" w:hAnsi="Century"/>
          <w:color w:val="000000"/>
          <w:sz w:val="18"/>
          <w:szCs w:val="18"/>
          <w:shd w:val="clear" w:color="auto" w:fill="FFFFFF"/>
        </w:rPr>
        <w:t xml:space="preserve"> patients, good in </w:t>
      </w:r>
      <w:r w:rsidRPr="00343F53">
        <w:rPr>
          <w:rFonts w:ascii="Century" w:hAnsi="Century" w:hint="eastAsia"/>
          <w:color w:val="000000"/>
          <w:sz w:val="18"/>
          <w:szCs w:val="18"/>
          <w:shd w:val="clear" w:color="auto" w:fill="FFFFFF"/>
        </w:rPr>
        <w:t>6</w:t>
      </w:r>
      <w:r w:rsidRPr="00343F53">
        <w:rPr>
          <w:rFonts w:ascii="Century" w:hAnsi="Century"/>
          <w:color w:val="000000"/>
          <w:sz w:val="18"/>
          <w:szCs w:val="18"/>
          <w:shd w:val="clear" w:color="auto" w:fill="FFFFFF"/>
        </w:rPr>
        <w:t xml:space="preserve"> and dead in 6. Intraoperative premature bleeding from the BBAs occurred in 2 of </w:t>
      </w:r>
      <w:r w:rsidRPr="00343F53">
        <w:rPr>
          <w:rFonts w:ascii="Century" w:hAnsi="Century" w:hint="eastAsia"/>
          <w:color w:val="000000"/>
          <w:sz w:val="18"/>
          <w:szCs w:val="18"/>
          <w:shd w:val="clear" w:color="auto" w:fill="FFFFFF"/>
        </w:rPr>
        <w:t>9</w:t>
      </w:r>
      <w:r w:rsidRPr="00343F53">
        <w:rPr>
          <w:rFonts w:ascii="Century" w:hAnsi="Century"/>
          <w:color w:val="000000"/>
          <w:sz w:val="18"/>
          <w:szCs w:val="18"/>
          <w:shd w:val="clear" w:color="auto" w:fill="FFFFFF"/>
        </w:rPr>
        <w:t xml:space="preserve"> patients who underwent surgical trapping. </w:t>
      </w:r>
      <w:r w:rsidRPr="00343F53">
        <w:rPr>
          <w:rFonts w:ascii="Century" w:hAnsi="Century"/>
          <w:i/>
          <w:color w:val="000000"/>
          <w:sz w:val="18"/>
          <w:szCs w:val="18"/>
          <w:shd w:val="clear" w:color="auto" w:fill="FFFFFF"/>
        </w:rPr>
        <w:t>Conclusions</w:t>
      </w:r>
      <w:r w:rsidRPr="00343F53">
        <w:rPr>
          <w:rFonts w:ascii="Century" w:hAnsi="Century"/>
          <w:color w:val="000000"/>
          <w:sz w:val="18"/>
          <w:szCs w:val="18"/>
          <w:shd w:val="clear" w:color="auto" w:fill="FFFFFF"/>
        </w:rPr>
        <w:t>. Ruptured BBAs were successfully treated with PAO during the acute SAH period.</w:t>
      </w:r>
    </w:p>
    <w:p w14:paraId="046DFC07" w14:textId="77777777" w:rsidR="00343F53" w:rsidRDefault="00343F53" w:rsidP="00343F53">
      <w:pPr>
        <w:rPr>
          <w:rFonts w:ascii="Century" w:hAnsi="Century"/>
          <w:color w:val="000000"/>
          <w:shd w:val="clear" w:color="auto" w:fill="FFFFFF"/>
        </w:rPr>
      </w:pPr>
    </w:p>
    <w:p w14:paraId="5F842295" w14:textId="7863E947" w:rsidR="00F8611B" w:rsidRDefault="00F8611B" w:rsidP="00F8611B">
      <w:pPr>
        <w:pStyle w:val="3"/>
        <w:spacing w:before="74"/>
      </w:pPr>
      <w:r>
        <w:rPr>
          <w:b w:val="0"/>
        </w:rPr>
        <w:br w:type="column"/>
      </w:r>
    </w:p>
    <w:p w14:paraId="6B2FA93C" w14:textId="2C168E75" w:rsidR="00F8611B" w:rsidRDefault="00F8611B" w:rsidP="00F8611B">
      <w:pPr>
        <w:pStyle w:val="a3"/>
        <w:spacing w:before="2"/>
        <w:rPr>
          <w:rFonts w:ascii="Arial"/>
          <w:b/>
          <w:sz w:val="16"/>
        </w:rPr>
      </w:pPr>
    </w:p>
    <w:p w14:paraId="1E7C4D59" w14:textId="684E034E" w:rsidR="00F8611B" w:rsidRDefault="00F8611B" w:rsidP="00F8611B">
      <w:pPr>
        <w:spacing w:line="204" w:lineRule="exact"/>
        <w:rPr>
          <w:rFonts w:ascii="Arial"/>
          <w:b/>
          <w:sz w:val="20"/>
        </w:rPr>
      </w:pPr>
      <w:r>
        <w:rPr>
          <w:rFonts w:ascii="Arial"/>
          <w:b/>
          <w:color w:val="BF5A14"/>
          <w:sz w:val="20"/>
        </w:rPr>
        <w:br/>
        <w:t xml:space="preserve">Recent Publications </w:t>
      </w:r>
      <w:bookmarkStart w:id="0" w:name="_GoBack"/>
      <w:bookmarkEnd w:id="0"/>
    </w:p>
    <w:p w14:paraId="58DAC562" w14:textId="4225734D" w:rsidR="00343F53" w:rsidRPr="00343F53" w:rsidRDefault="00343F53" w:rsidP="00343F53">
      <w:pPr>
        <w:pStyle w:val="a5"/>
        <w:numPr>
          <w:ilvl w:val="0"/>
          <w:numId w:val="1"/>
        </w:numPr>
        <w:shd w:val="clear" w:color="auto" w:fill="FFFFFF"/>
        <w:rPr>
          <w:rFonts w:ascii="Times New Roman" w:hAnsi="Times New Roman" w:cs="Times New Roman"/>
          <w:color w:val="000000"/>
          <w:sz w:val="18"/>
          <w:szCs w:val="18"/>
        </w:rPr>
      </w:pPr>
      <w:proofErr w:type="spellStart"/>
      <w:r w:rsidRPr="00343F53">
        <w:rPr>
          <w:rStyle w:val="element-citation"/>
          <w:rFonts w:ascii="Times New Roman" w:hAnsi="Times New Roman" w:cs="Times New Roman"/>
          <w:color w:val="000000"/>
          <w:sz w:val="18"/>
          <w:szCs w:val="18"/>
        </w:rPr>
        <w:t>Meling</w:t>
      </w:r>
      <w:proofErr w:type="spellEnd"/>
      <w:r w:rsidRPr="00343F53">
        <w:rPr>
          <w:rStyle w:val="element-citation"/>
          <w:rFonts w:ascii="Times New Roman" w:hAnsi="Times New Roman" w:cs="Times New Roman"/>
          <w:color w:val="000000"/>
          <w:sz w:val="18"/>
          <w:szCs w:val="18"/>
        </w:rPr>
        <w:t xml:space="preserve"> TR, </w:t>
      </w:r>
      <w:proofErr w:type="spellStart"/>
      <w:r w:rsidRPr="00343F53">
        <w:rPr>
          <w:rStyle w:val="element-citation"/>
          <w:rFonts w:ascii="Times New Roman" w:hAnsi="Times New Roman" w:cs="Times New Roman"/>
          <w:color w:val="000000"/>
          <w:sz w:val="18"/>
          <w:szCs w:val="18"/>
        </w:rPr>
        <w:t>Sorteberg</w:t>
      </w:r>
      <w:proofErr w:type="spellEnd"/>
      <w:r w:rsidRPr="00343F53">
        <w:rPr>
          <w:rStyle w:val="element-citation"/>
          <w:rFonts w:ascii="Times New Roman" w:hAnsi="Times New Roman" w:cs="Times New Roman"/>
          <w:color w:val="000000"/>
          <w:sz w:val="18"/>
          <w:szCs w:val="18"/>
        </w:rPr>
        <w:t xml:space="preserve"> A, Bakke SJ, </w:t>
      </w:r>
      <w:proofErr w:type="spellStart"/>
      <w:r w:rsidRPr="00343F53">
        <w:rPr>
          <w:rStyle w:val="element-citation"/>
          <w:rFonts w:ascii="Times New Roman" w:hAnsi="Times New Roman" w:cs="Times New Roman"/>
          <w:color w:val="000000"/>
          <w:sz w:val="18"/>
          <w:szCs w:val="18"/>
        </w:rPr>
        <w:t>Slettebo</w:t>
      </w:r>
      <w:proofErr w:type="spellEnd"/>
      <w:r w:rsidRPr="00343F53">
        <w:rPr>
          <w:rStyle w:val="element-citation"/>
          <w:rFonts w:ascii="Times New Roman" w:hAnsi="Times New Roman" w:cs="Times New Roman"/>
          <w:color w:val="000000"/>
          <w:sz w:val="18"/>
          <w:szCs w:val="18"/>
        </w:rPr>
        <w:t xml:space="preserve"> H, </w:t>
      </w:r>
      <w:proofErr w:type="spellStart"/>
      <w:r w:rsidRPr="00343F53">
        <w:rPr>
          <w:rStyle w:val="element-citation"/>
          <w:rFonts w:ascii="Times New Roman" w:hAnsi="Times New Roman" w:cs="Times New Roman"/>
          <w:color w:val="000000"/>
          <w:sz w:val="18"/>
          <w:szCs w:val="18"/>
        </w:rPr>
        <w:t>Hernesniemi</w:t>
      </w:r>
      <w:proofErr w:type="spellEnd"/>
      <w:r w:rsidRPr="00343F53">
        <w:rPr>
          <w:rStyle w:val="element-citation"/>
          <w:rFonts w:ascii="Times New Roman" w:hAnsi="Times New Roman" w:cs="Times New Roman"/>
          <w:color w:val="000000"/>
          <w:sz w:val="18"/>
          <w:szCs w:val="18"/>
        </w:rPr>
        <w:t xml:space="preserve"> J, </w:t>
      </w:r>
      <w:proofErr w:type="spellStart"/>
      <w:r w:rsidRPr="00343F53">
        <w:rPr>
          <w:rStyle w:val="element-citation"/>
          <w:rFonts w:ascii="Times New Roman" w:hAnsi="Times New Roman" w:cs="Times New Roman"/>
          <w:color w:val="000000"/>
          <w:sz w:val="18"/>
          <w:szCs w:val="18"/>
        </w:rPr>
        <w:t>Sorteberg</w:t>
      </w:r>
      <w:proofErr w:type="spellEnd"/>
      <w:r w:rsidRPr="00343F53">
        <w:rPr>
          <w:rStyle w:val="element-citation"/>
          <w:rFonts w:ascii="Times New Roman" w:hAnsi="Times New Roman" w:cs="Times New Roman"/>
          <w:color w:val="000000"/>
          <w:sz w:val="18"/>
          <w:szCs w:val="18"/>
        </w:rPr>
        <w:t xml:space="preserve"> W. Blood blister-like aneurysms of the internal carotid artery trunk causing subarachnoid hemorrhage: treatment and outcome. </w:t>
      </w:r>
      <w:r w:rsidRPr="00343F53">
        <w:rPr>
          <w:rStyle w:val="ref-journal"/>
          <w:rFonts w:ascii="Times New Roman" w:hAnsi="Times New Roman" w:cs="Times New Roman"/>
          <w:color w:val="000000"/>
          <w:sz w:val="18"/>
          <w:szCs w:val="18"/>
        </w:rPr>
        <w:t xml:space="preserve">J </w:t>
      </w:r>
      <w:proofErr w:type="spellStart"/>
      <w:r w:rsidRPr="00343F53">
        <w:rPr>
          <w:rStyle w:val="ref-journal"/>
          <w:rFonts w:ascii="Times New Roman" w:hAnsi="Times New Roman" w:cs="Times New Roman"/>
          <w:color w:val="000000"/>
          <w:sz w:val="18"/>
          <w:szCs w:val="18"/>
        </w:rPr>
        <w:t>Neurosurg</w:t>
      </w:r>
      <w:proofErr w:type="spellEnd"/>
      <w:r w:rsidRPr="00343F53">
        <w:rPr>
          <w:rStyle w:val="ref-journal"/>
          <w:rFonts w:ascii="Times New Roman" w:hAnsi="Times New Roman" w:cs="Times New Roman"/>
          <w:color w:val="000000"/>
          <w:sz w:val="18"/>
          <w:szCs w:val="18"/>
        </w:rPr>
        <w:t>. </w:t>
      </w:r>
      <w:proofErr w:type="gramStart"/>
      <w:r w:rsidRPr="00343F53">
        <w:rPr>
          <w:rStyle w:val="element-citation"/>
          <w:rFonts w:ascii="Times New Roman" w:hAnsi="Times New Roman" w:cs="Times New Roman"/>
          <w:color w:val="000000"/>
          <w:sz w:val="18"/>
          <w:szCs w:val="18"/>
        </w:rPr>
        <w:t>2008;</w:t>
      </w:r>
      <w:r w:rsidRPr="00343F53">
        <w:rPr>
          <w:rStyle w:val="ref-vol"/>
          <w:rFonts w:ascii="Times New Roman" w:hAnsi="Times New Roman" w:cs="Times New Roman"/>
          <w:color w:val="000000"/>
          <w:sz w:val="18"/>
          <w:szCs w:val="18"/>
        </w:rPr>
        <w:t>108</w:t>
      </w:r>
      <w:r w:rsidRPr="00343F53">
        <w:rPr>
          <w:rStyle w:val="element-citation"/>
          <w:rFonts w:ascii="Times New Roman" w:hAnsi="Times New Roman" w:cs="Times New Roman"/>
          <w:color w:val="000000"/>
          <w:sz w:val="18"/>
          <w:szCs w:val="18"/>
        </w:rPr>
        <w:t>:662</w:t>
      </w:r>
      <w:proofErr w:type="gramEnd"/>
      <w:r w:rsidRPr="00343F53">
        <w:rPr>
          <w:rStyle w:val="element-citation"/>
          <w:rFonts w:ascii="Times New Roman" w:hAnsi="Times New Roman" w:cs="Times New Roman"/>
          <w:color w:val="000000"/>
          <w:sz w:val="18"/>
          <w:szCs w:val="18"/>
        </w:rPr>
        <w:t>–71.[</w:t>
      </w:r>
      <w:hyperlink r:id="rId9" w:tgtFrame="pmc_ext" w:history="1">
        <w:r w:rsidRPr="00343F53">
          <w:rPr>
            <w:rStyle w:val="a6"/>
            <w:rFonts w:ascii="Times New Roman" w:hAnsi="Times New Roman" w:cs="Times New Roman"/>
            <w:color w:val="642A8F"/>
            <w:sz w:val="18"/>
            <w:szCs w:val="18"/>
          </w:rPr>
          <w:t>PubMed</w:t>
        </w:r>
      </w:hyperlink>
      <w:r w:rsidRPr="00343F53">
        <w:rPr>
          <w:rStyle w:val="element-citation"/>
          <w:rFonts w:ascii="Times New Roman" w:hAnsi="Times New Roman" w:cs="Times New Roman"/>
          <w:color w:val="000000"/>
          <w:sz w:val="18"/>
          <w:szCs w:val="18"/>
        </w:rPr>
        <w:t>]</w:t>
      </w:r>
    </w:p>
    <w:p w14:paraId="5BD33437" w14:textId="0E7DEF44" w:rsidR="00343F53" w:rsidRPr="00343F53" w:rsidRDefault="00343F53" w:rsidP="00343F53">
      <w:pPr>
        <w:pStyle w:val="a5"/>
        <w:numPr>
          <w:ilvl w:val="0"/>
          <w:numId w:val="1"/>
        </w:numPr>
        <w:shd w:val="clear" w:color="auto" w:fill="FFFFFF"/>
        <w:rPr>
          <w:rFonts w:ascii="Times New Roman" w:hAnsi="Times New Roman" w:cs="Times New Roman"/>
          <w:color w:val="000000"/>
          <w:sz w:val="18"/>
          <w:szCs w:val="18"/>
        </w:rPr>
      </w:pPr>
      <w:r w:rsidRPr="00343F53">
        <w:rPr>
          <w:rFonts w:ascii="Times New Roman" w:hAnsi="Times New Roman" w:cs="Times New Roman"/>
          <w:color w:val="000000"/>
          <w:sz w:val="18"/>
          <w:szCs w:val="18"/>
        </w:rPr>
        <w:t> </w:t>
      </w:r>
      <w:r w:rsidRPr="00343F53">
        <w:rPr>
          <w:rStyle w:val="element-citation"/>
          <w:rFonts w:ascii="Times New Roman" w:hAnsi="Times New Roman" w:cs="Times New Roman"/>
          <w:color w:val="000000"/>
          <w:sz w:val="18"/>
          <w:szCs w:val="18"/>
        </w:rPr>
        <w:t>Lee BH, Kim BM, Park MS, Park SI, Chung EC, Suh SH. et al. Reconstructive endovascular treatment of ruptured blood blister-like aneurysms of the internal carotid artery. </w:t>
      </w:r>
      <w:r w:rsidRPr="00343F53">
        <w:rPr>
          <w:rStyle w:val="ref-journal"/>
          <w:rFonts w:ascii="Times New Roman" w:hAnsi="Times New Roman" w:cs="Times New Roman"/>
          <w:color w:val="000000"/>
          <w:sz w:val="18"/>
          <w:szCs w:val="18"/>
        </w:rPr>
        <w:t xml:space="preserve">J </w:t>
      </w:r>
      <w:proofErr w:type="spellStart"/>
      <w:r w:rsidRPr="00343F53">
        <w:rPr>
          <w:rStyle w:val="ref-journal"/>
          <w:rFonts w:ascii="Times New Roman" w:hAnsi="Times New Roman" w:cs="Times New Roman"/>
          <w:color w:val="000000"/>
          <w:sz w:val="18"/>
          <w:szCs w:val="18"/>
        </w:rPr>
        <w:t>Neurosurg</w:t>
      </w:r>
      <w:proofErr w:type="spellEnd"/>
      <w:r w:rsidRPr="00343F53">
        <w:rPr>
          <w:rStyle w:val="ref-journal"/>
          <w:rFonts w:ascii="Times New Roman" w:hAnsi="Times New Roman" w:cs="Times New Roman"/>
          <w:color w:val="000000"/>
          <w:sz w:val="18"/>
          <w:szCs w:val="18"/>
        </w:rPr>
        <w:t>. </w:t>
      </w:r>
      <w:proofErr w:type="gramStart"/>
      <w:r w:rsidRPr="00343F53">
        <w:rPr>
          <w:rStyle w:val="element-citation"/>
          <w:rFonts w:ascii="Times New Roman" w:hAnsi="Times New Roman" w:cs="Times New Roman"/>
          <w:color w:val="000000"/>
          <w:sz w:val="18"/>
          <w:szCs w:val="18"/>
        </w:rPr>
        <w:t>2009;</w:t>
      </w:r>
      <w:r w:rsidRPr="00343F53">
        <w:rPr>
          <w:rStyle w:val="ref-vol"/>
          <w:rFonts w:ascii="Times New Roman" w:hAnsi="Times New Roman" w:cs="Times New Roman"/>
          <w:color w:val="000000"/>
          <w:sz w:val="18"/>
          <w:szCs w:val="18"/>
        </w:rPr>
        <w:t>110</w:t>
      </w:r>
      <w:r w:rsidRPr="00343F53">
        <w:rPr>
          <w:rStyle w:val="element-citation"/>
          <w:rFonts w:ascii="Times New Roman" w:hAnsi="Times New Roman" w:cs="Times New Roman"/>
          <w:color w:val="000000"/>
          <w:sz w:val="18"/>
          <w:szCs w:val="18"/>
        </w:rPr>
        <w:t>:431</w:t>
      </w:r>
      <w:proofErr w:type="gramEnd"/>
      <w:r w:rsidRPr="00343F53">
        <w:rPr>
          <w:rStyle w:val="element-citation"/>
          <w:rFonts w:ascii="Times New Roman" w:hAnsi="Times New Roman" w:cs="Times New Roman"/>
          <w:color w:val="000000"/>
          <w:sz w:val="18"/>
          <w:szCs w:val="18"/>
        </w:rPr>
        <w:t>–6. </w:t>
      </w:r>
    </w:p>
    <w:p w14:paraId="5087063C" w14:textId="73974DC9" w:rsidR="00343F53" w:rsidRPr="00343F53" w:rsidRDefault="00343F53" w:rsidP="00343F53">
      <w:pPr>
        <w:pStyle w:val="a5"/>
        <w:numPr>
          <w:ilvl w:val="0"/>
          <w:numId w:val="1"/>
        </w:numPr>
        <w:shd w:val="clear" w:color="auto" w:fill="FFFFFF"/>
        <w:rPr>
          <w:rFonts w:ascii="Times New Roman" w:hAnsi="Times New Roman" w:cs="Times New Roman"/>
          <w:color w:val="000000"/>
          <w:sz w:val="18"/>
          <w:szCs w:val="18"/>
        </w:rPr>
      </w:pPr>
      <w:proofErr w:type="spellStart"/>
      <w:r>
        <w:rPr>
          <w:rFonts w:ascii="Times New Roman" w:hAnsi="Times New Roman" w:cs="Times New Roman"/>
          <w:color w:val="000000"/>
          <w:sz w:val="18"/>
          <w:szCs w:val="18"/>
        </w:rPr>
        <w:t>P</w:t>
      </w:r>
      <w:r w:rsidRPr="00343F53">
        <w:rPr>
          <w:rStyle w:val="element-citation"/>
          <w:rFonts w:ascii="Times New Roman" w:hAnsi="Times New Roman" w:cs="Times New Roman"/>
          <w:color w:val="000000"/>
          <w:sz w:val="18"/>
          <w:szCs w:val="18"/>
        </w:rPr>
        <w:t>eschillo</w:t>
      </w:r>
      <w:proofErr w:type="spellEnd"/>
      <w:r w:rsidRPr="00343F53">
        <w:rPr>
          <w:rStyle w:val="element-citation"/>
          <w:rFonts w:ascii="Times New Roman" w:hAnsi="Times New Roman" w:cs="Times New Roman"/>
          <w:color w:val="000000"/>
          <w:sz w:val="18"/>
          <w:szCs w:val="18"/>
        </w:rPr>
        <w:t xml:space="preserve"> S, </w:t>
      </w:r>
      <w:proofErr w:type="spellStart"/>
      <w:r w:rsidRPr="00343F53">
        <w:rPr>
          <w:rStyle w:val="element-citation"/>
          <w:rFonts w:ascii="Times New Roman" w:hAnsi="Times New Roman" w:cs="Times New Roman"/>
          <w:color w:val="000000"/>
          <w:sz w:val="18"/>
          <w:szCs w:val="18"/>
        </w:rPr>
        <w:t>Miscusi</w:t>
      </w:r>
      <w:proofErr w:type="spellEnd"/>
      <w:r w:rsidRPr="00343F53">
        <w:rPr>
          <w:rStyle w:val="element-citation"/>
          <w:rFonts w:ascii="Times New Roman" w:hAnsi="Times New Roman" w:cs="Times New Roman"/>
          <w:color w:val="000000"/>
          <w:sz w:val="18"/>
          <w:szCs w:val="18"/>
        </w:rPr>
        <w:t xml:space="preserve"> M, </w:t>
      </w:r>
      <w:proofErr w:type="spellStart"/>
      <w:r w:rsidRPr="00343F53">
        <w:rPr>
          <w:rStyle w:val="element-citation"/>
          <w:rFonts w:ascii="Times New Roman" w:hAnsi="Times New Roman" w:cs="Times New Roman"/>
          <w:color w:val="000000"/>
          <w:sz w:val="18"/>
          <w:szCs w:val="18"/>
        </w:rPr>
        <w:t>Caporlingua</w:t>
      </w:r>
      <w:proofErr w:type="spellEnd"/>
      <w:r w:rsidRPr="00343F53">
        <w:rPr>
          <w:rStyle w:val="element-citation"/>
          <w:rFonts w:ascii="Times New Roman" w:hAnsi="Times New Roman" w:cs="Times New Roman"/>
          <w:color w:val="000000"/>
          <w:sz w:val="18"/>
          <w:szCs w:val="18"/>
        </w:rPr>
        <w:t xml:space="preserve"> A, Cannizzaro D, Santoro A, </w:t>
      </w:r>
      <w:proofErr w:type="spellStart"/>
      <w:r w:rsidRPr="00343F53">
        <w:rPr>
          <w:rStyle w:val="element-citation"/>
          <w:rFonts w:ascii="Times New Roman" w:hAnsi="Times New Roman" w:cs="Times New Roman"/>
          <w:color w:val="000000"/>
          <w:sz w:val="18"/>
          <w:szCs w:val="18"/>
        </w:rPr>
        <w:t>Delfini</w:t>
      </w:r>
      <w:proofErr w:type="spellEnd"/>
      <w:r w:rsidRPr="00343F53">
        <w:rPr>
          <w:rStyle w:val="element-citation"/>
          <w:rFonts w:ascii="Times New Roman" w:hAnsi="Times New Roman" w:cs="Times New Roman"/>
          <w:color w:val="000000"/>
          <w:sz w:val="18"/>
          <w:szCs w:val="18"/>
        </w:rPr>
        <w:t xml:space="preserve"> R. et al. Blister-like Aneurysms in Atypical Locations: A Single-Center Experience and Comprehensive Literature Review. </w:t>
      </w:r>
      <w:r w:rsidRPr="00343F53">
        <w:rPr>
          <w:rStyle w:val="ref-journal"/>
          <w:rFonts w:ascii="Times New Roman" w:hAnsi="Times New Roman" w:cs="Times New Roman"/>
          <w:color w:val="000000"/>
          <w:sz w:val="18"/>
          <w:szCs w:val="18"/>
        </w:rPr>
        <w:t xml:space="preserve">World </w:t>
      </w:r>
      <w:proofErr w:type="spellStart"/>
      <w:r w:rsidRPr="00343F53">
        <w:rPr>
          <w:rStyle w:val="ref-journal"/>
          <w:rFonts w:ascii="Times New Roman" w:hAnsi="Times New Roman" w:cs="Times New Roman"/>
          <w:color w:val="000000"/>
          <w:sz w:val="18"/>
          <w:szCs w:val="18"/>
        </w:rPr>
        <w:t>Neurosurg</w:t>
      </w:r>
      <w:proofErr w:type="spellEnd"/>
      <w:r w:rsidRPr="00343F53">
        <w:rPr>
          <w:rStyle w:val="ref-journal"/>
          <w:rFonts w:ascii="Times New Roman" w:hAnsi="Times New Roman" w:cs="Times New Roman"/>
          <w:color w:val="000000"/>
          <w:sz w:val="18"/>
          <w:szCs w:val="18"/>
        </w:rPr>
        <w:t>. </w:t>
      </w:r>
      <w:proofErr w:type="gramStart"/>
      <w:r w:rsidRPr="00343F53">
        <w:rPr>
          <w:rStyle w:val="element-citation"/>
          <w:rFonts w:ascii="Times New Roman" w:hAnsi="Times New Roman" w:cs="Times New Roman"/>
          <w:color w:val="000000"/>
          <w:sz w:val="18"/>
          <w:szCs w:val="18"/>
        </w:rPr>
        <w:t>2015;</w:t>
      </w:r>
      <w:r w:rsidRPr="00343F53">
        <w:rPr>
          <w:rStyle w:val="ref-vol"/>
          <w:rFonts w:ascii="Times New Roman" w:hAnsi="Times New Roman" w:cs="Times New Roman"/>
          <w:color w:val="000000"/>
          <w:sz w:val="18"/>
          <w:szCs w:val="18"/>
        </w:rPr>
        <w:t>84</w:t>
      </w:r>
      <w:r w:rsidRPr="00343F53">
        <w:rPr>
          <w:rStyle w:val="element-citation"/>
          <w:rFonts w:ascii="Times New Roman" w:hAnsi="Times New Roman" w:cs="Times New Roman"/>
          <w:color w:val="000000"/>
          <w:sz w:val="18"/>
          <w:szCs w:val="18"/>
        </w:rPr>
        <w:t>:1070</w:t>
      </w:r>
      <w:proofErr w:type="gramEnd"/>
      <w:r w:rsidRPr="00343F53">
        <w:rPr>
          <w:rStyle w:val="element-citation"/>
          <w:rFonts w:ascii="Times New Roman" w:hAnsi="Times New Roman" w:cs="Times New Roman"/>
          <w:color w:val="000000"/>
          <w:sz w:val="18"/>
          <w:szCs w:val="18"/>
        </w:rPr>
        <w:t>–9. </w:t>
      </w:r>
    </w:p>
    <w:p w14:paraId="670706FC" w14:textId="36BE2269" w:rsidR="00343F53" w:rsidRPr="00343F53" w:rsidRDefault="00343F53" w:rsidP="00343F53">
      <w:pPr>
        <w:pStyle w:val="a5"/>
        <w:numPr>
          <w:ilvl w:val="0"/>
          <w:numId w:val="1"/>
        </w:numPr>
        <w:shd w:val="clear" w:color="auto" w:fill="FFFFFF"/>
        <w:rPr>
          <w:rFonts w:ascii="Times New Roman" w:hAnsi="Times New Roman" w:cs="Times New Roman"/>
          <w:color w:val="000000"/>
          <w:sz w:val="18"/>
          <w:szCs w:val="18"/>
        </w:rPr>
      </w:pPr>
      <w:proofErr w:type="spellStart"/>
      <w:r w:rsidRPr="00343F53">
        <w:rPr>
          <w:rStyle w:val="element-citation"/>
          <w:rFonts w:ascii="Times New Roman" w:hAnsi="Times New Roman" w:cs="Times New Roman"/>
          <w:color w:val="000000"/>
          <w:sz w:val="18"/>
          <w:szCs w:val="18"/>
        </w:rPr>
        <w:t>Peschillo</w:t>
      </w:r>
      <w:proofErr w:type="spellEnd"/>
      <w:r w:rsidRPr="00343F53">
        <w:rPr>
          <w:rStyle w:val="element-citation"/>
          <w:rFonts w:ascii="Times New Roman" w:hAnsi="Times New Roman" w:cs="Times New Roman"/>
          <w:color w:val="000000"/>
          <w:sz w:val="18"/>
          <w:szCs w:val="18"/>
        </w:rPr>
        <w:t xml:space="preserve"> S, </w:t>
      </w:r>
      <w:proofErr w:type="spellStart"/>
      <w:r w:rsidRPr="00343F53">
        <w:rPr>
          <w:rStyle w:val="element-citation"/>
          <w:rFonts w:ascii="Times New Roman" w:hAnsi="Times New Roman" w:cs="Times New Roman"/>
          <w:color w:val="000000"/>
          <w:sz w:val="18"/>
          <w:szCs w:val="18"/>
        </w:rPr>
        <w:t>Missori</w:t>
      </w:r>
      <w:proofErr w:type="spellEnd"/>
      <w:r w:rsidRPr="00343F53">
        <w:rPr>
          <w:rStyle w:val="element-citation"/>
          <w:rFonts w:ascii="Times New Roman" w:hAnsi="Times New Roman" w:cs="Times New Roman"/>
          <w:color w:val="000000"/>
          <w:sz w:val="18"/>
          <w:szCs w:val="18"/>
        </w:rPr>
        <w:t xml:space="preserve"> P, Piano M, Cannizzaro D, </w:t>
      </w:r>
      <w:proofErr w:type="spellStart"/>
      <w:r w:rsidRPr="00343F53">
        <w:rPr>
          <w:rStyle w:val="element-citation"/>
          <w:rFonts w:ascii="Times New Roman" w:hAnsi="Times New Roman" w:cs="Times New Roman"/>
          <w:color w:val="000000"/>
          <w:sz w:val="18"/>
          <w:szCs w:val="18"/>
        </w:rPr>
        <w:t>Guidetti</w:t>
      </w:r>
      <w:proofErr w:type="spellEnd"/>
      <w:r w:rsidRPr="00343F53">
        <w:rPr>
          <w:rStyle w:val="element-citation"/>
          <w:rFonts w:ascii="Times New Roman" w:hAnsi="Times New Roman" w:cs="Times New Roman"/>
          <w:color w:val="000000"/>
          <w:sz w:val="18"/>
          <w:szCs w:val="18"/>
        </w:rPr>
        <w:t xml:space="preserve"> G, Santoro A. et al. Blister-like aneurysms of middle cerebral artery: a multicenter retrospective review of diagnosis and treatment in three patients. </w:t>
      </w:r>
      <w:proofErr w:type="spellStart"/>
      <w:r w:rsidRPr="00343F53">
        <w:rPr>
          <w:rStyle w:val="ref-journal"/>
          <w:rFonts w:ascii="Times New Roman" w:hAnsi="Times New Roman" w:cs="Times New Roman"/>
          <w:color w:val="000000"/>
          <w:sz w:val="18"/>
          <w:szCs w:val="18"/>
        </w:rPr>
        <w:t>Neurosurg</w:t>
      </w:r>
      <w:proofErr w:type="spellEnd"/>
      <w:r w:rsidRPr="00343F53">
        <w:rPr>
          <w:rStyle w:val="ref-journal"/>
          <w:rFonts w:ascii="Times New Roman" w:hAnsi="Times New Roman" w:cs="Times New Roman"/>
          <w:color w:val="000000"/>
          <w:sz w:val="18"/>
          <w:szCs w:val="18"/>
        </w:rPr>
        <w:t xml:space="preserve"> Rev. </w:t>
      </w:r>
      <w:proofErr w:type="gramStart"/>
      <w:r w:rsidRPr="00343F53">
        <w:rPr>
          <w:rStyle w:val="element-citation"/>
          <w:rFonts w:ascii="Times New Roman" w:hAnsi="Times New Roman" w:cs="Times New Roman"/>
          <w:color w:val="000000"/>
          <w:sz w:val="18"/>
          <w:szCs w:val="18"/>
        </w:rPr>
        <w:t>2015;</w:t>
      </w:r>
      <w:r w:rsidRPr="00343F53">
        <w:rPr>
          <w:rStyle w:val="ref-vol"/>
          <w:rFonts w:ascii="Times New Roman" w:hAnsi="Times New Roman" w:cs="Times New Roman"/>
          <w:color w:val="000000"/>
          <w:sz w:val="18"/>
          <w:szCs w:val="18"/>
        </w:rPr>
        <w:t>38</w:t>
      </w:r>
      <w:r w:rsidRPr="00343F53">
        <w:rPr>
          <w:rStyle w:val="element-citation"/>
          <w:rFonts w:ascii="Times New Roman" w:hAnsi="Times New Roman" w:cs="Times New Roman"/>
          <w:color w:val="000000"/>
          <w:sz w:val="18"/>
          <w:szCs w:val="18"/>
        </w:rPr>
        <w:t>:197</w:t>
      </w:r>
      <w:proofErr w:type="gramEnd"/>
      <w:r w:rsidRPr="00343F53">
        <w:rPr>
          <w:rStyle w:val="element-citation"/>
          <w:rFonts w:ascii="Times New Roman" w:hAnsi="Times New Roman" w:cs="Times New Roman"/>
          <w:color w:val="000000"/>
          <w:sz w:val="18"/>
          <w:szCs w:val="18"/>
        </w:rPr>
        <w:t xml:space="preserve">–202. discussion -3. </w:t>
      </w:r>
    </w:p>
    <w:p w14:paraId="13A3CD90" w14:textId="7E6E7CFF" w:rsidR="00343F53" w:rsidRPr="00343F53" w:rsidRDefault="00343F53" w:rsidP="00343F53">
      <w:pPr>
        <w:pStyle w:val="a5"/>
        <w:numPr>
          <w:ilvl w:val="0"/>
          <w:numId w:val="1"/>
        </w:numPr>
        <w:shd w:val="clear" w:color="auto" w:fill="FFFFFF"/>
        <w:rPr>
          <w:rFonts w:ascii="Times New Roman" w:hAnsi="Times New Roman" w:cs="Times New Roman"/>
          <w:color w:val="000000"/>
          <w:sz w:val="18"/>
          <w:szCs w:val="18"/>
        </w:rPr>
      </w:pPr>
      <w:proofErr w:type="spellStart"/>
      <w:r w:rsidRPr="00343F53">
        <w:rPr>
          <w:rStyle w:val="element-citation"/>
          <w:rFonts w:ascii="Times New Roman" w:hAnsi="Times New Roman" w:cs="Times New Roman"/>
          <w:color w:val="000000"/>
          <w:sz w:val="18"/>
          <w:szCs w:val="18"/>
        </w:rPr>
        <w:t>Szmuda</w:t>
      </w:r>
      <w:proofErr w:type="spellEnd"/>
      <w:r w:rsidRPr="00343F53">
        <w:rPr>
          <w:rStyle w:val="element-citation"/>
          <w:rFonts w:ascii="Times New Roman" w:hAnsi="Times New Roman" w:cs="Times New Roman"/>
          <w:color w:val="000000"/>
          <w:sz w:val="18"/>
          <w:szCs w:val="18"/>
        </w:rPr>
        <w:t xml:space="preserve"> T, </w:t>
      </w:r>
      <w:proofErr w:type="spellStart"/>
      <w:r w:rsidRPr="00343F53">
        <w:rPr>
          <w:rStyle w:val="element-citation"/>
          <w:rFonts w:ascii="Times New Roman" w:hAnsi="Times New Roman" w:cs="Times New Roman"/>
          <w:color w:val="000000"/>
          <w:sz w:val="18"/>
          <w:szCs w:val="18"/>
        </w:rPr>
        <w:t>Sloniewski</w:t>
      </w:r>
      <w:proofErr w:type="spellEnd"/>
      <w:r w:rsidRPr="00343F53">
        <w:rPr>
          <w:rStyle w:val="element-citation"/>
          <w:rFonts w:ascii="Times New Roman" w:hAnsi="Times New Roman" w:cs="Times New Roman"/>
          <w:color w:val="000000"/>
          <w:sz w:val="18"/>
          <w:szCs w:val="18"/>
        </w:rPr>
        <w:t xml:space="preserve"> P, </w:t>
      </w:r>
      <w:proofErr w:type="spellStart"/>
      <w:r w:rsidRPr="00343F53">
        <w:rPr>
          <w:rStyle w:val="element-citation"/>
          <w:rFonts w:ascii="Times New Roman" w:hAnsi="Times New Roman" w:cs="Times New Roman"/>
          <w:color w:val="000000"/>
          <w:sz w:val="18"/>
          <w:szCs w:val="18"/>
        </w:rPr>
        <w:t>Waszak</w:t>
      </w:r>
      <w:proofErr w:type="spellEnd"/>
      <w:r w:rsidRPr="00343F53">
        <w:rPr>
          <w:rStyle w:val="element-citation"/>
          <w:rFonts w:ascii="Times New Roman" w:hAnsi="Times New Roman" w:cs="Times New Roman"/>
          <w:color w:val="000000"/>
          <w:sz w:val="18"/>
          <w:szCs w:val="18"/>
        </w:rPr>
        <w:t xml:space="preserve"> PM, Springer J, </w:t>
      </w:r>
      <w:proofErr w:type="spellStart"/>
      <w:r w:rsidRPr="00343F53">
        <w:rPr>
          <w:rStyle w:val="element-citation"/>
          <w:rFonts w:ascii="Times New Roman" w:hAnsi="Times New Roman" w:cs="Times New Roman"/>
          <w:color w:val="000000"/>
          <w:sz w:val="18"/>
          <w:szCs w:val="18"/>
        </w:rPr>
        <w:t>Szmuda</w:t>
      </w:r>
      <w:proofErr w:type="spellEnd"/>
      <w:r w:rsidRPr="00343F53">
        <w:rPr>
          <w:rStyle w:val="element-citation"/>
          <w:rFonts w:ascii="Times New Roman" w:hAnsi="Times New Roman" w:cs="Times New Roman"/>
          <w:color w:val="000000"/>
          <w:sz w:val="18"/>
          <w:szCs w:val="18"/>
        </w:rPr>
        <w:t xml:space="preserve"> M. Towards a new treatment paradigm for ruptured blood blister-like aneurysms of the internal carotid artery? A rapid systematic review. </w:t>
      </w:r>
      <w:r w:rsidRPr="00343F53">
        <w:rPr>
          <w:rStyle w:val="ref-journal"/>
          <w:rFonts w:ascii="Times New Roman" w:hAnsi="Times New Roman" w:cs="Times New Roman"/>
          <w:color w:val="000000"/>
          <w:sz w:val="18"/>
          <w:szCs w:val="18"/>
        </w:rPr>
        <w:t xml:space="preserve">J </w:t>
      </w:r>
      <w:proofErr w:type="spellStart"/>
      <w:r w:rsidRPr="00343F53">
        <w:rPr>
          <w:rStyle w:val="ref-journal"/>
          <w:rFonts w:ascii="Times New Roman" w:hAnsi="Times New Roman" w:cs="Times New Roman"/>
          <w:color w:val="000000"/>
          <w:sz w:val="18"/>
          <w:szCs w:val="18"/>
        </w:rPr>
        <w:t>Neurointerv</w:t>
      </w:r>
      <w:proofErr w:type="spellEnd"/>
      <w:r w:rsidRPr="00343F53">
        <w:rPr>
          <w:rStyle w:val="ref-journal"/>
          <w:rFonts w:ascii="Times New Roman" w:hAnsi="Times New Roman" w:cs="Times New Roman"/>
          <w:color w:val="000000"/>
          <w:sz w:val="18"/>
          <w:szCs w:val="18"/>
        </w:rPr>
        <w:t xml:space="preserve"> Surg. </w:t>
      </w:r>
      <w:proofErr w:type="gramStart"/>
      <w:r w:rsidRPr="00343F53">
        <w:rPr>
          <w:rStyle w:val="element-citation"/>
          <w:rFonts w:ascii="Times New Roman" w:hAnsi="Times New Roman" w:cs="Times New Roman"/>
          <w:color w:val="000000"/>
          <w:sz w:val="18"/>
          <w:szCs w:val="18"/>
        </w:rPr>
        <w:t>2016;</w:t>
      </w:r>
      <w:r w:rsidRPr="00343F53">
        <w:rPr>
          <w:rStyle w:val="ref-vol"/>
          <w:rFonts w:ascii="Times New Roman" w:hAnsi="Times New Roman" w:cs="Times New Roman"/>
          <w:color w:val="000000"/>
          <w:sz w:val="18"/>
          <w:szCs w:val="18"/>
        </w:rPr>
        <w:t>8</w:t>
      </w:r>
      <w:r w:rsidRPr="00343F53">
        <w:rPr>
          <w:rStyle w:val="element-citation"/>
          <w:rFonts w:ascii="Times New Roman" w:hAnsi="Times New Roman" w:cs="Times New Roman"/>
          <w:color w:val="000000"/>
          <w:sz w:val="18"/>
          <w:szCs w:val="18"/>
        </w:rPr>
        <w:t>:488</w:t>
      </w:r>
      <w:proofErr w:type="gramEnd"/>
      <w:r w:rsidRPr="00343F53">
        <w:rPr>
          <w:rStyle w:val="element-citation"/>
          <w:rFonts w:ascii="Times New Roman" w:hAnsi="Times New Roman" w:cs="Times New Roman"/>
          <w:color w:val="000000"/>
          <w:sz w:val="18"/>
          <w:szCs w:val="18"/>
        </w:rPr>
        <w:t>–94</w:t>
      </w:r>
    </w:p>
    <w:p w14:paraId="320EB650" w14:textId="2D907A9B" w:rsidR="00F8611B" w:rsidRDefault="00F8611B" w:rsidP="00DF7ACB">
      <w:pPr>
        <w:pStyle w:val="a3"/>
        <w:spacing w:before="85" w:line="216" w:lineRule="exact"/>
        <w:ind w:right="138"/>
        <w:jc w:val="both"/>
        <w:rPr>
          <w:rFonts w:ascii="Calibri" w:hAnsi="Calibri"/>
        </w:rPr>
      </w:pPr>
    </w:p>
    <w:p w14:paraId="7974E623" w14:textId="77777777" w:rsidR="00F8611B" w:rsidRPr="008756E6" w:rsidRDefault="00F8611B" w:rsidP="00F8611B">
      <w:pPr>
        <w:tabs>
          <w:tab w:val="left" w:pos="384"/>
        </w:tabs>
        <w:ind w:right="117"/>
      </w:pPr>
    </w:p>
    <w:p w14:paraId="14ADCD12" w14:textId="77777777" w:rsidR="00F8611B" w:rsidRDefault="00F8611B" w:rsidP="00F8611B">
      <w:pPr>
        <w:spacing w:line="200" w:lineRule="exact"/>
        <w:jc w:val="both"/>
        <w:rPr>
          <w:rFonts w:ascii="Calibri" w:hAnsi="Calibri"/>
        </w:rPr>
        <w:sectPr w:rsidR="00F861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AA0E4DB" w14:textId="77777777" w:rsidR="00F8611B" w:rsidRDefault="00F8611B" w:rsidP="00F8611B">
      <w:pPr>
        <w:pStyle w:val="a3"/>
        <w:rPr>
          <w:rFonts w:ascii="Calibri"/>
          <w:sz w:val="20"/>
        </w:rPr>
      </w:pPr>
    </w:p>
    <w:p w14:paraId="3978A40A" w14:textId="77777777" w:rsidR="00F8611B" w:rsidRDefault="00F8611B" w:rsidP="00F8611B">
      <w:pPr>
        <w:pStyle w:val="a3"/>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E843E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439DE7C" w14:textId="53633D07" w:rsidR="00F8611B" w:rsidRDefault="00F8611B" w:rsidP="00F8611B">
      <w:pPr>
        <w:spacing w:before="92"/>
        <w:ind w:right="4234"/>
        <w:rPr>
          <w:rFonts w:ascii="Arial"/>
        </w:rPr>
      </w:pPr>
      <w:r>
        <w:rPr>
          <w:noProof/>
        </w:rPr>
        <w:t xml:space="preserve">              </w:t>
      </w:r>
      <w:r>
        <w:rPr>
          <w:noProof/>
        </w:rPr>
        <w:drawing>
          <wp:inline distT="0" distB="0" distL="0" distR="0" wp14:anchorId="4A1E5827" wp14:editId="0928AD8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 xml:space="preserve">Biography </w:t>
      </w:r>
    </w:p>
    <w:p w14:paraId="63279F91" w14:textId="77777777" w:rsidR="00343F53" w:rsidRPr="008B4E7A" w:rsidRDefault="00343F53" w:rsidP="00343F53">
      <w:pPr>
        <w:spacing w:before="41"/>
        <w:ind w:left="213" w:right="231"/>
        <w:jc w:val="both"/>
        <w:rPr>
          <w:rFonts w:ascii="Century Gothic" w:hAnsi="Century Gothic"/>
          <w:sz w:val="16"/>
          <w:szCs w:val="16"/>
        </w:rPr>
      </w:pPr>
      <w:r w:rsidRPr="008B4E7A">
        <w:rPr>
          <w:rFonts w:ascii="Century Gothic" w:hAnsi="Century Gothic"/>
          <w:sz w:val="16"/>
          <w:szCs w:val="16"/>
        </w:rPr>
        <w:t>Yasushi Ueno has his expertise in neurosurgery and stroke prevention. Especially he has a lot of clinical data about acute ischemic stroke and vascular recanalization flowing medical preservation using DOACs (direct oral anticoagulants).</w:t>
      </w:r>
    </w:p>
    <w:p w14:paraId="1B19267F" w14:textId="1413B714" w:rsidR="00F8611B" w:rsidRDefault="00343F53" w:rsidP="00343F53">
      <w:pPr>
        <w:spacing w:before="41" w:line="154" w:lineRule="exact"/>
        <w:ind w:left="213" w:right="231"/>
        <w:jc w:val="both"/>
        <w:rPr>
          <w:rFonts w:ascii="Arial"/>
          <w:sz w:val="14"/>
        </w:rPr>
      </w:pPr>
      <w:r w:rsidRPr="008B4E7A">
        <w:rPr>
          <w:rFonts w:ascii="Century Gothic" w:hAnsi="Century Gothic"/>
          <w:sz w:val="16"/>
          <w:szCs w:val="16"/>
        </w:rPr>
        <w:t xml:space="preserve">He has built this clinical data after years of experience in bed side work, research, evaluation, and </w:t>
      </w:r>
      <w:proofErr w:type="gramStart"/>
      <w:r w:rsidRPr="008B4E7A">
        <w:rPr>
          <w:rFonts w:ascii="Century Gothic" w:hAnsi="Century Gothic"/>
          <w:sz w:val="16"/>
          <w:szCs w:val="16"/>
        </w:rPr>
        <w:t>administration  both</w:t>
      </w:r>
      <w:proofErr w:type="gramEnd"/>
      <w:r w:rsidRPr="008B4E7A">
        <w:rPr>
          <w:rFonts w:ascii="Century Gothic" w:hAnsi="Century Gothic"/>
          <w:sz w:val="16"/>
          <w:szCs w:val="16"/>
        </w:rPr>
        <w:t xml:space="preserve"> in Shinko hospital and education institutions; Kyoto University</w:t>
      </w:r>
    </w:p>
    <w:p w14:paraId="4A9FB817" w14:textId="77777777" w:rsidR="00343F53" w:rsidRDefault="00F8611B" w:rsidP="00343F53">
      <w:pPr>
        <w:spacing w:before="62"/>
        <w:ind w:left="4217" w:right="4235"/>
        <w:jc w:val="center"/>
        <w:rPr>
          <w:rFonts w:ascii="Arial"/>
          <w:sz w:val="14"/>
        </w:rPr>
      </w:pPr>
      <w:r>
        <w:rPr>
          <w:rFonts w:ascii="Arial"/>
          <w:sz w:val="14"/>
        </w:rPr>
        <w:t xml:space="preserve">Email: </w:t>
      </w:r>
      <w:r w:rsidR="00343F53">
        <w:rPr>
          <w:rStyle w:val="a6"/>
          <w:rFonts w:ascii="Arial"/>
          <w:sz w:val="14"/>
        </w:rPr>
        <w:t>yweno@hotmail.co.jp</w:t>
      </w:r>
    </w:p>
    <w:p w14:paraId="5FF1BE69" w14:textId="2F4379AD" w:rsidR="00F8611B" w:rsidRDefault="00F8611B" w:rsidP="00343F53">
      <w:pPr>
        <w:spacing w:before="62"/>
        <w:ind w:left="4217" w:right="4235"/>
        <w:jc w:val="center"/>
        <w:rPr>
          <w:rFonts w:ascii="Arial"/>
          <w:sz w:val="19"/>
        </w:rPr>
      </w:pPr>
      <w:r>
        <w:rPr>
          <w:noProof/>
        </w:rPr>
        <mc:AlternateContent>
          <mc:Choice Requires="wps">
            <w:drawing>
              <wp:anchor distT="0" distB="0" distL="0" distR="0" simplePos="0" relativeHeight="251659264" behindDoc="0" locked="0" layoutInCell="1" allowOverlap="1" wp14:anchorId="7895FA51" wp14:editId="2CB0F3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08D52" id="Line 3" o:spid="_x0000_s1026" style="position:absolute;left:0;text-align:lef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58229BAF" w14:textId="77777777" w:rsidR="00F8611B" w:rsidRDefault="00F8611B" w:rsidP="00F8611B">
      <w:pPr>
        <w:pStyle w:val="a3"/>
        <w:rPr>
          <w:rFonts w:ascii="Arial"/>
          <w:sz w:val="20"/>
        </w:rPr>
      </w:pPr>
    </w:p>
    <w:p w14:paraId="42BB64BC" w14:textId="77777777" w:rsidR="00F8611B" w:rsidRDefault="00F8611B" w:rsidP="00F8611B">
      <w:pPr>
        <w:pStyle w:val="a3"/>
        <w:rPr>
          <w:rFonts w:ascii="Arial"/>
          <w:sz w:val="20"/>
        </w:rPr>
      </w:pPr>
    </w:p>
    <w:p w14:paraId="2A146A2C" w14:textId="77777777" w:rsidR="00F8611B" w:rsidRDefault="00F8611B" w:rsidP="00F8611B">
      <w:pPr>
        <w:pStyle w:val="a3"/>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a3"/>
        <w:spacing w:before="3"/>
        <w:rPr>
          <w:rFonts w:ascii="Minion Pro"/>
          <w:sz w:val="26"/>
        </w:rPr>
      </w:pPr>
    </w:p>
    <w:p w14:paraId="3CCFB9FE" w14:textId="77777777" w:rsidR="0041184D" w:rsidRDefault="001F7BFB"/>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74BAF4" w14:textId="77777777" w:rsidR="001F7BFB" w:rsidRDefault="001F7BFB">
      <w:r>
        <w:separator/>
      </w:r>
    </w:p>
  </w:endnote>
  <w:endnote w:type="continuationSeparator" w:id="0">
    <w:p w14:paraId="27AC6AFE" w14:textId="77777777" w:rsidR="001F7BFB" w:rsidRDefault="001F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游明朝">
    <w:panose1 w:val="02020400000000000000"/>
    <w:charset w:val="80"/>
    <w:family w:val="roman"/>
    <w:pitch w:val="variable"/>
    <w:sig w:usb0="800002E7" w:usb1="2AC7FCFF"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E17F4" w14:textId="77777777" w:rsidR="00AE3E37" w:rsidRDefault="00F8611B">
    <w:pPr>
      <w:pStyle w:val="a3"/>
      <w:spacing w:line="14" w:lineRule="auto"/>
      <w:rPr>
        <w:sz w:val="20"/>
      </w:rPr>
    </w:pPr>
    <w:r>
      <w:rPr>
        <w:noProof/>
      </w:rPr>
      <mc:AlternateContent>
        <mc:Choice Requires="wps">
          <w:drawing>
            <wp:anchor distT="0" distB="0" distL="114300" distR="114300" simplePos="0" relativeHeight="251661312" behindDoc="1" locked="0" layoutInCell="1" allowOverlap="1" wp14:anchorId="7036ADFC" wp14:editId="7CBDA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6ADF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1E85B6D" wp14:editId="1A082E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5B6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EEBBC7" wp14:editId="4FA69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BBC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A05A6" w14:textId="77777777" w:rsidR="001F7BFB" w:rsidRDefault="001F7BFB">
      <w:r>
        <w:separator/>
      </w:r>
    </w:p>
  </w:footnote>
  <w:footnote w:type="continuationSeparator" w:id="0">
    <w:p w14:paraId="6B45F0CE" w14:textId="77777777" w:rsidR="001F7BFB" w:rsidRDefault="001F7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C2DCD" w14:textId="77777777" w:rsidR="00AE3E37" w:rsidRDefault="00F8611B">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58849425" wp14:editId="713424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4942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876E875" wp14:editId="04C0B6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1976" w14:textId="77777777" w:rsidR="00AE3E37" w:rsidRPr="005B3A56" w:rsidRDefault="00F8611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87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EFD1976" w14:textId="77777777" w:rsidR="00AE3E37" w:rsidRPr="005B3A56" w:rsidRDefault="00F8611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77"/>
    <w:rsid w:val="001F2D77"/>
    <w:rsid w:val="001F7BFB"/>
    <w:rsid w:val="00343F53"/>
    <w:rsid w:val="00A70174"/>
    <w:rsid w:val="00DF39E5"/>
    <w:rsid w:val="00DF7ACB"/>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046CE9"/>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F8611B"/>
    <w:pPr>
      <w:widowControl w:val="0"/>
      <w:spacing w:after="0" w:line="240" w:lineRule="auto"/>
    </w:pPr>
    <w:rPr>
      <w:rFonts w:ascii="Tw Cen MT" w:eastAsia="Tw Cen MT" w:hAnsi="Tw Cen MT" w:cs="Tw Cen MT"/>
    </w:rPr>
  </w:style>
  <w:style w:type="paragraph" w:styleId="1">
    <w:name w:val="heading 1"/>
    <w:basedOn w:val="a"/>
    <w:link w:val="10"/>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F8611B"/>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F8611B"/>
    <w:rPr>
      <w:rFonts w:ascii="Minion Pro" w:eastAsia="Minion Pro" w:hAnsi="Minion Pro" w:cs="Minion Pro"/>
      <w:b/>
      <w:bCs/>
      <w:sz w:val="36"/>
      <w:szCs w:val="36"/>
    </w:rPr>
  </w:style>
  <w:style w:type="character" w:customStyle="1" w:styleId="30">
    <w:name w:val="見出し 3 (文字)"/>
    <w:basedOn w:val="a0"/>
    <w:link w:val="3"/>
    <w:uiPriority w:val="1"/>
    <w:rsid w:val="00F8611B"/>
    <w:rPr>
      <w:rFonts w:ascii="Arial" w:eastAsia="Arial" w:hAnsi="Arial" w:cs="Arial"/>
      <w:b/>
      <w:bCs/>
      <w:sz w:val="20"/>
      <w:szCs w:val="20"/>
    </w:rPr>
  </w:style>
  <w:style w:type="paragraph" w:styleId="a3">
    <w:name w:val="Body Text"/>
    <w:basedOn w:val="a"/>
    <w:link w:val="a4"/>
    <w:uiPriority w:val="1"/>
    <w:qFormat/>
    <w:rsid w:val="00F8611B"/>
    <w:rPr>
      <w:sz w:val="18"/>
      <w:szCs w:val="18"/>
    </w:rPr>
  </w:style>
  <w:style w:type="character" w:customStyle="1" w:styleId="a4">
    <w:name w:val="本文 (文字)"/>
    <w:basedOn w:val="a0"/>
    <w:link w:val="a3"/>
    <w:uiPriority w:val="1"/>
    <w:rsid w:val="00F8611B"/>
    <w:rPr>
      <w:rFonts w:ascii="Tw Cen MT" w:eastAsia="Tw Cen MT" w:hAnsi="Tw Cen MT" w:cs="Tw Cen MT"/>
      <w:sz w:val="18"/>
      <w:szCs w:val="18"/>
    </w:rPr>
  </w:style>
  <w:style w:type="paragraph" w:styleId="a5">
    <w:name w:val="List Paragraph"/>
    <w:basedOn w:val="a"/>
    <w:uiPriority w:val="1"/>
    <w:qFormat/>
    <w:rsid w:val="00F8611B"/>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F8611B"/>
    <w:rPr>
      <w:color w:val="0563C1" w:themeColor="hyperlink"/>
      <w:u w:val="single"/>
    </w:rPr>
  </w:style>
  <w:style w:type="character" w:customStyle="1" w:styleId="element-citation">
    <w:name w:val="element-citation"/>
    <w:basedOn w:val="a0"/>
    <w:rsid w:val="00343F53"/>
  </w:style>
  <w:style w:type="character" w:customStyle="1" w:styleId="ref-journal">
    <w:name w:val="ref-journal"/>
    <w:basedOn w:val="a0"/>
    <w:rsid w:val="00343F53"/>
  </w:style>
  <w:style w:type="character" w:customStyle="1" w:styleId="ref-vol">
    <w:name w:val="ref-vol"/>
    <w:basedOn w:val="a0"/>
    <w:rsid w:val="00343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ncbi.nlm.nih.gov/pubmed/1837724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538</Words>
  <Characters>3070</Characters>
  <Application>Microsoft Office Word</Application>
  <DocSecurity>0</DocSecurity>
  <Lines>25</Lines>
  <Paragraphs>7</Paragraphs>
  <ScaleCrop>false</ScaleCrop>
  <HeadingPairs>
    <vt:vector size="6" baseType="variant">
      <vt:variant>
        <vt:lpstr>タイトル</vt:lpstr>
      </vt:variant>
      <vt:variant>
        <vt:i4>1</vt:i4>
      </vt:variant>
      <vt:variant>
        <vt:lpstr>Title</vt:lpstr>
      </vt:variant>
      <vt:variant>
        <vt:i4>1</vt:i4>
      </vt:variant>
      <vt:variant>
        <vt:lpstr>Headings</vt:lpstr>
      </vt:variant>
      <vt:variant>
        <vt:i4>3</vt:i4>
      </vt:variant>
    </vt:vector>
  </HeadingPairs>
  <TitlesOfParts>
    <vt:vector size="5" baseType="lpstr">
      <vt:lpstr/>
      <vt:lpstr/>
      <vt:lpstr>Women, trauma and alcohol dependency: Connections and disconnections in alcohol </vt:lpstr>
      <vt:lpstr>        Abstract (300 word limit)</vt:lpstr>
      <vt:lpstr>        Image</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Microsoft Office ユーザー</cp:lastModifiedBy>
  <cp:revision>4</cp:revision>
  <dcterms:created xsi:type="dcterms:W3CDTF">2017-11-27T06:57:00Z</dcterms:created>
  <dcterms:modified xsi:type="dcterms:W3CDTF">2019-01-19T07:18:00Z</dcterms:modified>
  <cp:contentStatus>Final</cp:contentStatus>
</cp:coreProperties>
</file>