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2A46" w:rsidRPr="007A1D99" w:rsidRDefault="00682A46" w:rsidP="00682A46">
      <w:pPr>
        <w:shd w:val="clear" w:color="auto" w:fill="FFFFFF"/>
        <w:bidi w:val="0"/>
        <w:spacing w:after="0" w:line="240" w:lineRule="auto"/>
        <w:rPr>
          <w:rFonts w:ascii="Segoe UI" w:eastAsia="Times New Roman" w:hAnsi="Segoe UI" w:cs="Segoe UI"/>
          <w:b/>
          <w:bCs/>
          <w:color w:val="212121"/>
          <w:sz w:val="23"/>
          <w:szCs w:val="23"/>
          <w:u w:val="single"/>
        </w:rPr>
      </w:pPr>
      <w:r w:rsidRPr="00682A46">
        <w:rPr>
          <w:rFonts w:ascii="Segoe UI" w:eastAsia="Times New Roman" w:hAnsi="Segoe UI" w:cs="Segoe UI"/>
          <w:color w:val="212121"/>
          <w:sz w:val="23"/>
          <w:szCs w:val="23"/>
        </w:rPr>
        <w:br/>
      </w:r>
      <w:proofErr w:type="gramStart"/>
      <w:r w:rsidRPr="007A1D99">
        <w:rPr>
          <w:rFonts w:ascii="Segoe UI" w:eastAsia="Times New Roman" w:hAnsi="Segoe UI" w:cs="Segoe UI"/>
          <w:b/>
          <w:bCs/>
          <w:color w:val="212121"/>
          <w:sz w:val="23"/>
          <w:szCs w:val="23"/>
          <w:u w:val="single"/>
        </w:rPr>
        <w:t>Title :</w:t>
      </w:r>
      <w:proofErr w:type="gramEnd"/>
    </w:p>
    <w:p w:rsidR="00682A46" w:rsidRPr="007A1D99" w:rsidRDefault="00682A46" w:rsidP="007A1D99">
      <w:pPr>
        <w:shd w:val="clear" w:color="auto" w:fill="FFFFFF"/>
        <w:bidi w:val="0"/>
        <w:spacing w:after="0" w:line="240" w:lineRule="auto"/>
        <w:jc w:val="both"/>
        <w:rPr>
          <w:rFonts w:ascii="Segoe UI" w:eastAsia="Times New Roman" w:hAnsi="Segoe UI" w:cs="Segoe UI"/>
          <w:b/>
          <w:bCs/>
          <w:color w:val="212121"/>
        </w:rPr>
      </w:pPr>
      <w:r w:rsidRPr="00682A46">
        <w:rPr>
          <w:rFonts w:ascii="Segoe UI" w:eastAsia="Times New Roman" w:hAnsi="Segoe UI" w:cs="Segoe UI"/>
          <w:color w:val="212121"/>
          <w:sz w:val="23"/>
          <w:szCs w:val="23"/>
        </w:rPr>
        <w:t> </w:t>
      </w:r>
      <w:proofErr w:type="gramStart"/>
      <w:r w:rsidRPr="007A1D99">
        <w:rPr>
          <w:rFonts w:ascii="Segoe UI" w:eastAsia="Times New Roman" w:hAnsi="Segoe UI" w:cs="Segoe UI"/>
          <w:b/>
          <w:bCs/>
          <w:color w:val="212121"/>
        </w:rPr>
        <w:t xml:space="preserve">Use of the transbrachial approach with regular radial sheath as an alternative method in the management of </w:t>
      </w:r>
      <w:r w:rsidR="00B21471" w:rsidRPr="007A1D99">
        <w:rPr>
          <w:rFonts w:ascii="Segoe UI" w:eastAsia="Times New Roman" w:hAnsi="Segoe UI" w:cs="Segoe UI"/>
          <w:b/>
          <w:bCs/>
          <w:color w:val="212121"/>
        </w:rPr>
        <w:t>aortoiliac</w:t>
      </w:r>
      <w:r w:rsidRPr="007A1D99">
        <w:rPr>
          <w:rFonts w:ascii="Segoe UI" w:eastAsia="Times New Roman" w:hAnsi="Segoe UI" w:cs="Segoe UI"/>
          <w:b/>
          <w:bCs/>
          <w:color w:val="212121"/>
        </w:rPr>
        <w:t xml:space="preserve"> occlusive arterial diseases.</w:t>
      </w:r>
      <w:proofErr w:type="gramEnd"/>
    </w:p>
    <w:p w:rsidR="00682A46" w:rsidRPr="007A1D99" w:rsidRDefault="00682A46" w:rsidP="007A1D99">
      <w:pPr>
        <w:shd w:val="clear" w:color="auto" w:fill="FFFFFF"/>
        <w:bidi w:val="0"/>
        <w:spacing w:after="0" w:line="240" w:lineRule="auto"/>
        <w:jc w:val="both"/>
        <w:rPr>
          <w:rFonts w:ascii="Segoe UI" w:eastAsia="Times New Roman" w:hAnsi="Segoe UI" w:cs="Segoe UI"/>
          <w:b/>
          <w:bCs/>
          <w:color w:val="212121"/>
        </w:rPr>
      </w:pPr>
      <w:r w:rsidRPr="007A1D99">
        <w:rPr>
          <w:rFonts w:ascii="Segoe UI" w:eastAsia="Times New Roman" w:hAnsi="Segoe UI" w:cs="Segoe UI"/>
          <w:b/>
          <w:bCs/>
          <w:color w:val="212121"/>
        </w:rPr>
        <w:t xml:space="preserve">Author: Sohiel Ayman Fakhry Elamria </w:t>
      </w:r>
      <w:r w:rsidR="00B21471" w:rsidRPr="007A1D99">
        <w:rPr>
          <w:rFonts w:ascii="Segoe UI" w:eastAsia="Times New Roman" w:hAnsi="Segoe UI" w:cs="Segoe UI"/>
          <w:b/>
          <w:bCs/>
          <w:color w:val="212121"/>
        </w:rPr>
        <w:t>hospital, Alexandria</w:t>
      </w:r>
      <w:r w:rsidRPr="007A1D99">
        <w:rPr>
          <w:rFonts w:ascii="Segoe UI" w:eastAsia="Times New Roman" w:hAnsi="Segoe UI" w:cs="Segoe UI"/>
          <w:b/>
          <w:bCs/>
          <w:color w:val="212121"/>
        </w:rPr>
        <w:t>,</w:t>
      </w:r>
    </w:p>
    <w:p w:rsidR="00682A46" w:rsidRPr="007A1D99" w:rsidRDefault="00682A46" w:rsidP="00682A46">
      <w:pPr>
        <w:shd w:val="clear" w:color="auto" w:fill="FFFFFF"/>
        <w:bidi w:val="0"/>
        <w:spacing w:after="0" w:line="240" w:lineRule="auto"/>
        <w:rPr>
          <w:rFonts w:ascii="Segoe UI" w:eastAsia="Times New Roman" w:hAnsi="Segoe UI" w:cs="Segoe UI"/>
          <w:b/>
          <w:bCs/>
          <w:color w:val="212121"/>
          <w:sz w:val="23"/>
          <w:szCs w:val="23"/>
          <w:u w:val="single"/>
        </w:rPr>
      </w:pPr>
      <w:r w:rsidRPr="007A1D99">
        <w:rPr>
          <w:rFonts w:ascii="Segoe UI" w:eastAsia="Times New Roman" w:hAnsi="Segoe UI" w:cs="Segoe UI"/>
          <w:b/>
          <w:bCs/>
          <w:color w:val="212121"/>
          <w:sz w:val="23"/>
          <w:szCs w:val="23"/>
          <w:u w:val="single"/>
        </w:rPr>
        <w:t>Introduction: </w:t>
      </w:r>
    </w:p>
    <w:p w:rsidR="00682A46" w:rsidRPr="007A1D99" w:rsidRDefault="00682A46" w:rsidP="007A1D99">
      <w:pPr>
        <w:shd w:val="clear" w:color="auto" w:fill="FFFFFF"/>
        <w:bidi w:val="0"/>
        <w:spacing w:after="0" w:line="240" w:lineRule="auto"/>
        <w:jc w:val="both"/>
        <w:rPr>
          <w:rFonts w:ascii="Segoe UI" w:eastAsia="Times New Roman" w:hAnsi="Segoe UI" w:cs="Segoe UI"/>
          <w:b/>
          <w:bCs/>
          <w:color w:val="212121"/>
          <w:sz w:val="23"/>
          <w:szCs w:val="23"/>
        </w:rPr>
      </w:pPr>
      <w:r w:rsidRPr="007A1D99">
        <w:rPr>
          <w:rFonts w:ascii="Segoe UI" w:eastAsia="Times New Roman" w:hAnsi="Segoe UI" w:cs="Segoe UI"/>
          <w:b/>
          <w:bCs/>
          <w:color w:val="212121"/>
          <w:sz w:val="23"/>
          <w:szCs w:val="23"/>
        </w:rPr>
        <w:t>The best way to manage peripheral artery disease remains an unresolved issue. In recent years, endovascular therapy (EVT) has</w:t>
      </w:r>
      <w:r w:rsidR="00B21471" w:rsidRPr="007A1D99">
        <w:rPr>
          <w:rFonts w:ascii="Segoe UI" w:eastAsia="Times New Roman" w:hAnsi="Segoe UI" w:cs="Segoe UI"/>
          <w:b/>
          <w:bCs/>
          <w:color w:val="212121"/>
          <w:sz w:val="23"/>
          <w:szCs w:val="23"/>
        </w:rPr>
        <w:t xml:space="preserve"> </w:t>
      </w:r>
      <w:r w:rsidRPr="007A1D99">
        <w:rPr>
          <w:rFonts w:ascii="Segoe UI" w:eastAsia="Times New Roman" w:hAnsi="Segoe UI" w:cs="Segoe UI"/>
          <w:b/>
          <w:bCs/>
          <w:color w:val="212121"/>
          <w:sz w:val="23"/>
          <w:szCs w:val="23"/>
        </w:rPr>
        <w:t xml:space="preserve">made remarkable advances, resulting in better outcomes in a variety of settings.Aortoiliac bifurcation lesions present various difficulties in treatment, and the therapeutic method remains controversial. In addition, while some reports have examined EVT outcomes in aortoiliac bifurcation lesions, there are few analyzing the influence of lesion morphology and stent </w:t>
      </w:r>
      <w:r w:rsidR="00B21471" w:rsidRPr="007A1D99">
        <w:rPr>
          <w:rFonts w:ascii="Segoe UI" w:eastAsia="Times New Roman" w:hAnsi="Segoe UI" w:cs="Segoe UI"/>
          <w:b/>
          <w:bCs/>
          <w:color w:val="212121"/>
          <w:sz w:val="23"/>
          <w:szCs w:val="23"/>
        </w:rPr>
        <w:t>configuration?</w:t>
      </w:r>
    </w:p>
    <w:p w:rsidR="00682A46" w:rsidRPr="007A1D99" w:rsidRDefault="00682A46" w:rsidP="00682A46">
      <w:pPr>
        <w:shd w:val="clear" w:color="auto" w:fill="FFFFFF"/>
        <w:bidi w:val="0"/>
        <w:spacing w:after="0" w:line="240" w:lineRule="auto"/>
        <w:rPr>
          <w:rFonts w:ascii="Segoe UI" w:eastAsia="Times New Roman" w:hAnsi="Segoe UI" w:cs="Segoe UI"/>
          <w:b/>
          <w:bCs/>
          <w:color w:val="212121"/>
          <w:sz w:val="23"/>
          <w:szCs w:val="23"/>
          <w:u w:val="single"/>
        </w:rPr>
      </w:pPr>
      <w:r w:rsidRPr="007A1D99">
        <w:rPr>
          <w:rFonts w:ascii="Segoe UI" w:eastAsia="Times New Roman" w:hAnsi="Segoe UI" w:cs="Segoe UI"/>
          <w:b/>
          <w:bCs/>
          <w:color w:val="212121"/>
          <w:sz w:val="23"/>
          <w:szCs w:val="23"/>
          <w:u w:val="single"/>
        </w:rPr>
        <w:t>Aim of the study:</w:t>
      </w:r>
    </w:p>
    <w:p w:rsidR="00682A46" w:rsidRPr="007A1D99" w:rsidRDefault="00682A46" w:rsidP="00682A46">
      <w:pPr>
        <w:shd w:val="clear" w:color="auto" w:fill="FFFFFF"/>
        <w:bidi w:val="0"/>
        <w:spacing w:after="0" w:line="240" w:lineRule="auto"/>
        <w:rPr>
          <w:rFonts w:ascii="Segoe UI" w:eastAsia="Times New Roman" w:hAnsi="Segoe UI" w:cs="Segoe UI"/>
          <w:b/>
          <w:bCs/>
          <w:color w:val="212121"/>
        </w:rPr>
      </w:pPr>
      <w:r w:rsidRPr="007A1D99">
        <w:rPr>
          <w:rFonts w:ascii="Segoe UI" w:eastAsia="Times New Roman" w:hAnsi="Segoe UI" w:cs="Segoe UI"/>
          <w:b/>
          <w:bCs/>
          <w:color w:val="212121"/>
        </w:rPr>
        <w:t xml:space="preserve">Evaluation of the transbrachial approach using radial sheath as an alternative method in the management of </w:t>
      </w:r>
      <w:r w:rsidR="009277D0" w:rsidRPr="007A1D99">
        <w:rPr>
          <w:rFonts w:ascii="Segoe UI" w:eastAsia="Times New Roman" w:hAnsi="Segoe UI" w:cs="Segoe UI"/>
          <w:b/>
          <w:bCs/>
          <w:color w:val="212121"/>
        </w:rPr>
        <w:t>aortoiliac</w:t>
      </w:r>
      <w:r w:rsidRPr="007A1D99">
        <w:rPr>
          <w:rFonts w:ascii="Segoe UI" w:eastAsia="Times New Roman" w:hAnsi="Segoe UI" w:cs="Segoe UI"/>
          <w:b/>
          <w:bCs/>
          <w:color w:val="212121"/>
        </w:rPr>
        <w:t xml:space="preserve"> occlusive arterial diseases.</w:t>
      </w:r>
    </w:p>
    <w:p w:rsidR="00682A46" w:rsidRPr="009277D0" w:rsidRDefault="00682A46" w:rsidP="00682A46">
      <w:pPr>
        <w:shd w:val="clear" w:color="auto" w:fill="FFFFFF"/>
        <w:bidi w:val="0"/>
        <w:spacing w:after="0" w:line="240" w:lineRule="auto"/>
        <w:rPr>
          <w:rFonts w:ascii="Segoe UI" w:eastAsia="Times New Roman" w:hAnsi="Segoe UI" w:cs="Segoe UI"/>
          <w:b/>
          <w:bCs/>
          <w:color w:val="212121"/>
          <w:sz w:val="23"/>
          <w:szCs w:val="23"/>
          <w:u w:val="single"/>
        </w:rPr>
      </w:pPr>
      <w:r w:rsidRPr="009277D0">
        <w:rPr>
          <w:rFonts w:ascii="Segoe UI" w:eastAsia="Times New Roman" w:hAnsi="Segoe UI" w:cs="Segoe UI"/>
          <w:b/>
          <w:bCs/>
          <w:color w:val="212121"/>
          <w:sz w:val="23"/>
          <w:szCs w:val="23"/>
          <w:u w:val="single"/>
        </w:rPr>
        <w:t>Patients and methods:</w:t>
      </w:r>
    </w:p>
    <w:p w:rsidR="00682A46" w:rsidRPr="007A1D99" w:rsidRDefault="00682A46" w:rsidP="007A1D99">
      <w:pPr>
        <w:shd w:val="clear" w:color="auto" w:fill="FFFFFF"/>
        <w:bidi w:val="0"/>
        <w:spacing w:after="0" w:line="240" w:lineRule="auto"/>
        <w:jc w:val="both"/>
        <w:rPr>
          <w:rFonts w:ascii="Segoe UI" w:eastAsia="Times New Roman" w:hAnsi="Segoe UI" w:cs="Segoe UI"/>
          <w:b/>
          <w:bCs/>
          <w:color w:val="212121"/>
        </w:rPr>
      </w:pPr>
      <w:r w:rsidRPr="007A1D99">
        <w:rPr>
          <w:rFonts w:ascii="Segoe UI" w:eastAsia="Times New Roman" w:hAnsi="Segoe UI" w:cs="Segoe UI"/>
          <w:b/>
          <w:bCs/>
          <w:color w:val="212121"/>
        </w:rPr>
        <w:t xml:space="preserve">Seven patients admitted to Shaq Almandine and </w:t>
      </w:r>
      <w:r w:rsidR="009277D0" w:rsidRPr="007A1D99">
        <w:rPr>
          <w:rFonts w:ascii="Segoe UI" w:eastAsia="Times New Roman" w:hAnsi="Segoe UI" w:cs="Segoe UI"/>
          <w:b/>
          <w:bCs/>
          <w:color w:val="212121"/>
        </w:rPr>
        <w:t>Elamria</w:t>
      </w:r>
      <w:r w:rsidRPr="007A1D99">
        <w:rPr>
          <w:rFonts w:ascii="Segoe UI" w:eastAsia="Times New Roman" w:hAnsi="Segoe UI" w:cs="Segoe UI"/>
          <w:b/>
          <w:bCs/>
          <w:color w:val="212121"/>
        </w:rPr>
        <w:t xml:space="preserve"> </w:t>
      </w:r>
      <w:r w:rsidR="009277D0" w:rsidRPr="007A1D99">
        <w:rPr>
          <w:rFonts w:ascii="Segoe UI" w:eastAsia="Times New Roman" w:hAnsi="Segoe UI" w:cs="Segoe UI"/>
          <w:b/>
          <w:bCs/>
          <w:color w:val="212121"/>
        </w:rPr>
        <w:t>hospitals; during the period July 1st 2017 – April 30th 2018</w:t>
      </w:r>
      <w:r w:rsidRPr="007A1D99">
        <w:rPr>
          <w:rFonts w:ascii="Segoe UI" w:eastAsia="Times New Roman" w:hAnsi="Segoe UI" w:cs="Segoe UI"/>
          <w:b/>
          <w:bCs/>
          <w:color w:val="212121"/>
        </w:rPr>
        <w:t xml:space="preserve"> with chronic bilateral lower limb ischemia (</w:t>
      </w:r>
      <w:r w:rsidR="009277D0" w:rsidRPr="007A1D99">
        <w:rPr>
          <w:rFonts w:ascii="Segoe UI" w:eastAsia="Times New Roman" w:hAnsi="Segoe UI" w:cs="Segoe UI"/>
          <w:b/>
          <w:bCs/>
          <w:color w:val="212121"/>
        </w:rPr>
        <w:t>aortoiliac</w:t>
      </w:r>
      <w:r w:rsidRPr="007A1D99">
        <w:rPr>
          <w:rFonts w:ascii="Segoe UI" w:eastAsia="Times New Roman" w:hAnsi="Segoe UI" w:cs="Segoe UI"/>
          <w:b/>
          <w:bCs/>
          <w:color w:val="212121"/>
        </w:rPr>
        <w:t xml:space="preserve"> occlusive disease).After clinical </w:t>
      </w:r>
      <w:r w:rsidR="009277D0" w:rsidRPr="007A1D99">
        <w:rPr>
          <w:rFonts w:ascii="Segoe UI" w:eastAsia="Times New Roman" w:hAnsi="Segoe UI" w:cs="Segoe UI"/>
          <w:b/>
          <w:bCs/>
          <w:color w:val="212121"/>
        </w:rPr>
        <w:t>evaluation, Doppler</w:t>
      </w:r>
      <w:r w:rsidRPr="007A1D99">
        <w:rPr>
          <w:rFonts w:ascii="Segoe UI" w:eastAsia="Times New Roman" w:hAnsi="Segoe UI" w:cs="Segoe UI"/>
          <w:b/>
          <w:bCs/>
          <w:color w:val="212121"/>
        </w:rPr>
        <w:t xml:space="preserve"> and </w:t>
      </w:r>
      <w:r w:rsidR="009277D0" w:rsidRPr="007A1D99">
        <w:rPr>
          <w:rFonts w:ascii="Segoe UI" w:eastAsia="Times New Roman" w:hAnsi="Segoe UI" w:cs="Segoe UI"/>
          <w:b/>
          <w:bCs/>
          <w:color w:val="212121"/>
        </w:rPr>
        <w:t>CT.angiogram</w:t>
      </w:r>
      <w:r w:rsidRPr="007A1D99">
        <w:rPr>
          <w:rFonts w:ascii="Segoe UI" w:eastAsia="Times New Roman" w:hAnsi="Segoe UI" w:cs="Segoe UI"/>
          <w:b/>
          <w:bCs/>
          <w:color w:val="212121"/>
        </w:rPr>
        <w:t xml:space="preserve"> transbrachial approach had been chosen using</w:t>
      </w:r>
      <w:r w:rsidR="009277D0" w:rsidRPr="007A1D99">
        <w:rPr>
          <w:rFonts w:ascii="Segoe UI" w:eastAsia="Times New Roman" w:hAnsi="Segoe UI" w:cs="Segoe UI"/>
          <w:b/>
          <w:bCs/>
          <w:color w:val="212121"/>
        </w:rPr>
        <w:t xml:space="preserve"> 6 Fr.</w:t>
      </w:r>
      <w:r w:rsidRPr="007A1D99">
        <w:rPr>
          <w:rFonts w:ascii="Segoe UI" w:eastAsia="Times New Roman" w:hAnsi="Segoe UI" w:cs="Segoe UI"/>
          <w:b/>
          <w:bCs/>
          <w:color w:val="212121"/>
        </w:rPr>
        <w:t xml:space="preserve"> </w:t>
      </w:r>
      <w:r w:rsidR="009277D0" w:rsidRPr="007A1D99">
        <w:rPr>
          <w:rFonts w:ascii="Segoe UI" w:eastAsia="Times New Roman" w:hAnsi="Segoe UI" w:cs="Segoe UI"/>
          <w:b/>
          <w:bCs/>
          <w:color w:val="212121"/>
        </w:rPr>
        <w:t>Regular</w:t>
      </w:r>
      <w:r w:rsidRPr="007A1D99">
        <w:rPr>
          <w:rFonts w:ascii="Segoe UI" w:eastAsia="Times New Roman" w:hAnsi="Segoe UI" w:cs="Segoe UI"/>
          <w:b/>
          <w:bCs/>
          <w:color w:val="212121"/>
        </w:rPr>
        <w:t xml:space="preserve"> radial </w:t>
      </w:r>
      <w:proofErr w:type="gramStart"/>
      <w:r w:rsidR="009277D0" w:rsidRPr="007A1D99">
        <w:rPr>
          <w:rFonts w:ascii="Segoe UI" w:eastAsia="Times New Roman" w:hAnsi="Segoe UI" w:cs="Segoe UI"/>
          <w:b/>
          <w:bCs/>
          <w:color w:val="212121"/>
        </w:rPr>
        <w:t>sheath</w:t>
      </w:r>
      <w:proofErr w:type="gramEnd"/>
      <w:r w:rsidR="009277D0" w:rsidRPr="007A1D99">
        <w:rPr>
          <w:rFonts w:ascii="Segoe UI" w:eastAsia="Times New Roman" w:hAnsi="Segoe UI" w:cs="Segoe UI"/>
          <w:b/>
          <w:bCs/>
          <w:color w:val="212121"/>
        </w:rPr>
        <w:t>. Follow</w:t>
      </w:r>
      <w:r w:rsidRPr="007A1D99">
        <w:rPr>
          <w:rFonts w:ascii="Segoe UI" w:eastAsia="Times New Roman" w:hAnsi="Segoe UI" w:cs="Segoe UI"/>
          <w:b/>
          <w:bCs/>
          <w:color w:val="212121"/>
        </w:rPr>
        <w:t xml:space="preserve"> up after 1 day</w:t>
      </w:r>
      <w:r w:rsidR="009277D0" w:rsidRPr="007A1D99">
        <w:rPr>
          <w:rFonts w:ascii="Segoe UI" w:eastAsia="Times New Roman" w:hAnsi="Segoe UI" w:cs="Segoe UI"/>
          <w:b/>
          <w:bCs/>
          <w:color w:val="212121"/>
        </w:rPr>
        <w:t>, 1</w:t>
      </w:r>
      <w:r w:rsidRPr="007A1D99">
        <w:rPr>
          <w:rFonts w:ascii="Segoe UI" w:eastAsia="Times New Roman" w:hAnsi="Segoe UI" w:cs="Segoe UI"/>
          <w:b/>
          <w:bCs/>
          <w:color w:val="212121"/>
        </w:rPr>
        <w:t xml:space="preserve"> week and 3 months.</w:t>
      </w:r>
    </w:p>
    <w:p w:rsidR="00682A46" w:rsidRPr="009277D0" w:rsidRDefault="00682A46" w:rsidP="00682A46">
      <w:pPr>
        <w:shd w:val="clear" w:color="auto" w:fill="FFFFFF"/>
        <w:bidi w:val="0"/>
        <w:spacing w:after="0" w:line="240" w:lineRule="auto"/>
        <w:rPr>
          <w:rFonts w:ascii="Segoe UI" w:eastAsia="Times New Roman" w:hAnsi="Segoe UI" w:cs="Segoe UI"/>
          <w:b/>
          <w:bCs/>
          <w:color w:val="212121"/>
          <w:sz w:val="23"/>
          <w:szCs w:val="23"/>
          <w:u w:val="single"/>
        </w:rPr>
      </w:pPr>
      <w:r w:rsidRPr="009277D0">
        <w:rPr>
          <w:rFonts w:ascii="Segoe UI" w:eastAsia="Times New Roman" w:hAnsi="Segoe UI" w:cs="Segoe UI"/>
          <w:b/>
          <w:bCs/>
          <w:color w:val="212121"/>
          <w:sz w:val="23"/>
          <w:szCs w:val="23"/>
          <w:u w:val="single"/>
        </w:rPr>
        <w:t>Results:</w:t>
      </w:r>
    </w:p>
    <w:p w:rsidR="00682A46" w:rsidRPr="007A1D99" w:rsidRDefault="00682A46" w:rsidP="007A1D99">
      <w:pPr>
        <w:shd w:val="clear" w:color="auto" w:fill="FFFFFF"/>
        <w:bidi w:val="0"/>
        <w:spacing w:after="0" w:line="240" w:lineRule="auto"/>
        <w:jc w:val="both"/>
        <w:rPr>
          <w:rFonts w:ascii="Segoe UI" w:eastAsia="Times New Roman" w:hAnsi="Segoe UI" w:cs="Segoe UI"/>
          <w:b/>
          <w:bCs/>
          <w:color w:val="212121"/>
        </w:rPr>
      </w:pPr>
      <w:r w:rsidRPr="007A1D99">
        <w:rPr>
          <w:rFonts w:ascii="Segoe UI" w:eastAsia="Times New Roman" w:hAnsi="Segoe UI" w:cs="Segoe UI"/>
          <w:b/>
          <w:bCs/>
          <w:color w:val="212121"/>
        </w:rPr>
        <w:t>Five male patients and 2 ladies with mean age 62.2 years underwent left transbrachial approach using 6F.radial sheath. Tow 7F.kissing stents was applied in both common iliac arteries in 4 patients, one in left CIA</w:t>
      </w:r>
      <w:r w:rsidR="009277D0" w:rsidRPr="007A1D99">
        <w:rPr>
          <w:rFonts w:ascii="Segoe UI" w:eastAsia="Times New Roman" w:hAnsi="Segoe UI" w:cs="Segoe UI"/>
          <w:b/>
          <w:bCs/>
          <w:color w:val="212121"/>
        </w:rPr>
        <w:t>, one</w:t>
      </w:r>
      <w:r w:rsidRPr="007A1D99">
        <w:rPr>
          <w:rFonts w:ascii="Segoe UI" w:eastAsia="Times New Roman" w:hAnsi="Segoe UI" w:cs="Segoe UI"/>
          <w:b/>
          <w:bCs/>
          <w:color w:val="212121"/>
        </w:rPr>
        <w:t xml:space="preserve"> in 7F.occloded stent in left CIA and one in left CIA.wth femro-femoral by </w:t>
      </w:r>
      <w:r w:rsidR="009277D0" w:rsidRPr="007A1D99">
        <w:rPr>
          <w:rFonts w:ascii="Segoe UI" w:eastAsia="Times New Roman" w:hAnsi="Segoe UI" w:cs="Segoe UI"/>
          <w:b/>
          <w:bCs/>
          <w:color w:val="212121"/>
        </w:rPr>
        <w:t>pass. Follow</w:t>
      </w:r>
      <w:r w:rsidRPr="007A1D99">
        <w:rPr>
          <w:rFonts w:ascii="Segoe UI" w:eastAsia="Times New Roman" w:hAnsi="Segoe UI" w:cs="Segoe UI"/>
          <w:b/>
          <w:bCs/>
          <w:color w:val="212121"/>
        </w:rPr>
        <w:t xml:space="preserve"> up revealed patent stents in all patients after 3 months period using Duplex study.</w:t>
      </w:r>
    </w:p>
    <w:p w:rsidR="00682A46" w:rsidRPr="007A1D99" w:rsidRDefault="00682A46" w:rsidP="00682A46">
      <w:pPr>
        <w:shd w:val="clear" w:color="auto" w:fill="FFFFFF"/>
        <w:bidi w:val="0"/>
        <w:spacing w:after="0" w:line="240" w:lineRule="auto"/>
        <w:rPr>
          <w:rFonts w:ascii="Segoe UI" w:eastAsia="Times New Roman" w:hAnsi="Segoe UI" w:cs="Segoe UI"/>
          <w:b/>
          <w:bCs/>
          <w:color w:val="212121"/>
          <w:u w:val="single"/>
        </w:rPr>
      </w:pPr>
      <w:r w:rsidRPr="007A1D99">
        <w:rPr>
          <w:rFonts w:ascii="Segoe UI" w:eastAsia="Times New Roman" w:hAnsi="Segoe UI" w:cs="Segoe UI"/>
          <w:b/>
          <w:bCs/>
          <w:color w:val="212121"/>
          <w:u w:val="single"/>
        </w:rPr>
        <w:t>Conclusion:</w:t>
      </w:r>
    </w:p>
    <w:p w:rsidR="00682A46" w:rsidRPr="007A1D99" w:rsidRDefault="00682A46" w:rsidP="007A1D99">
      <w:pPr>
        <w:shd w:val="clear" w:color="auto" w:fill="FFFFFF"/>
        <w:bidi w:val="0"/>
        <w:spacing w:after="0" w:line="240" w:lineRule="auto"/>
        <w:jc w:val="both"/>
        <w:rPr>
          <w:rFonts w:ascii="Segoe UI" w:eastAsia="Times New Roman" w:hAnsi="Segoe UI" w:cs="Segoe UI"/>
          <w:b/>
          <w:bCs/>
          <w:color w:val="212121"/>
        </w:rPr>
      </w:pPr>
      <w:r w:rsidRPr="007A1D99">
        <w:rPr>
          <w:rFonts w:ascii="Segoe UI" w:eastAsia="Times New Roman" w:hAnsi="Segoe UI" w:cs="Segoe UI"/>
          <w:b/>
          <w:bCs/>
          <w:color w:val="212121"/>
        </w:rPr>
        <w:t xml:space="preserve">Radial sheath is a safe, unique, cheap method for transbrachial </w:t>
      </w:r>
      <w:r w:rsidR="009277D0" w:rsidRPr="007A1D99">
        <w:rPr>
          <w:rFonts w:ascii="Segoe UI" w:eastAsia="Times New Roman" w:hAnsi="Segoe UI" w:cs="Segoe UI"/>
          <w:b/>
          <w:bCs/>
          <w:color w:val="212121"/>
        </w:rPr>
        <w:t>approach, more</w:t>
      </w:r>
      <w:r w:rsidRPr="007A1D99">
        <w:rPr>
          <w:rFonts w:ascii="Segoe UI" w:eastAsia="Times New Roman" w:hAnsi="Segoe UI" w:cs="Segoe UI"/>
          <w:b/>
          <w:bCs/>
          <w:color w:val="212121"/>
        </w:rPr>
        <w:t xml:space="preserve"> friendly for arch manipulation and doesn't affect the pushibility during the procedure</w:t>
      </w:r>
    </w:p>
    <w:p w:rsidR="0072538A" w:rsidRPr="00682A46" w:rsidRDefault="0072538A" w:rsidP="00682A46">
      <w:pPr>
        <w:jc w:val="right"/>
        <w:rPr>
          <w:lang w:bidi="ar-EG"/>
        </w:rPr>
      </w:pPr>
    </w:p>
    <w:sectPr w:rsidR="0072538A" w:rsidRPr="00682A46" w:rsidSect="00C964FE">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82A46"/>
    <w:rsid w:val="00012B03"/>
    <w:rsid w:val="000B1669"/>
    <w:rsid w:val="00373431"/>
    <w:rsid w:val="00682A46"/>
    <w:rsid w:val="0072538A"/>
    <w:rsid w:val="007A1D99"/>
    <w:rsid w:val="0081562D"/>
    <w:rsid w:val="009277D0"/>
    <w:rsid w:val="00930104"/>
    <w:rsid w:val="00B21471"/>
    <w:rsid w:val="00C964F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538A"/>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35358919">
      <w:bodyDiv w:val="1"/>
      <w:marLeft w:val="0"/>
      <w:marRight w:val="0"/>
      <w:marTop w:val="0"/>
      <w:marBottom w:val="0"/>
      <w:divBdr>
        <w:top w:val="none" w:sz="0" w:space="0" w:color="auto"/>
        <w:left w:val="none" w:sz="0" w:space="0" w:color="auto"/>
        <w:bottom w:val="none" w:sz="0" w:space="0" w:color="auto"/>
        <w:right w:val="none" w:sz="0" w:space="0" w:color="auto"/>
      </w:divBdr>
      <w:divsChild>
        <w:div w:id="384840773">
          <w:marLeft w:val="0"/>
          <w:marRight w:val="0"/>
          <w:marTop w:val="0"/>
          <w:marBottom w:val="0"/>
          <w:divBdr>
            <w:top w:val="none" w:sz="0" w:space="0" w:color="auto"/>
            <w:left w:val="none" w:sz="0" w:space="0" w:color="auto"/>
            <w:bottom w:val="none" w:sz="0" w:space="0" w:color="auto"/>
            <w:right w:val="none" w:sz="0" w:space="0" w:color="auto"/>
          </w:divBdr>
        </w:div>
        <w:div w:id="1348484972">
          <w:marLeft w:val="0"/>
          <w:marRight w:val="0"/>
          <w:marTop w:val="0"/>
          <w:marBottom w:val="0"/>
          <w:divBdr>
            <w:top w:val="none" w:sz="0" w:space="0" w:color="auto"/>
            <w:left w:val="none" w:sz="0" w:space="0" w:color="auto"/>
            <w:bottom w:val="none" w:sz="0" w:space="0" w:color="auto"/>
            <w:right w:val="none" w:sz="0" w:space="0" w:color="auto"/>
          </w:divBdr>
        </w:div>
        <w:div w:id="903951849">
          <w:marLeft w:val="0"/>
          <w:marRight w:val="0"/>
          <w:marTop w:val="0"/>
          <w:marBottom w:val="0"/>
          <w:divBdr>
            <w:top w:val="none" w:sz="0" w:space="0" w:color="auto"/>
            <w:left w:val="none" w:sz="0" w:space="0" w:color="auto"/>
            <w:bottom w:val="none" w:sz="0" w:space="0" w:color="auto"/>
            <w:right w:val="none" w:sz="0" w:space="0" w:color="auto"/>
          </w:divBdr>
        </w:div>
        <w:div w:id="1355304324">
          <w:marLeft w:val="0"/>
          <w:marRight w:val="0"/>
          <w:marTop w:val="0"/>
          <w:marBottom w:val="0"/>
          <w:divBdr>
            <w:top w:val="none" w:sz="0" w:space="0" w:color="auto"/>
            <w:left w:val="none" w:sz="0" w:space="0" w:color="auto"/>
            <w:bottom w:val="none" w:sz="0" w:space="0" w:color="auto"/>
            <w:right w:val="none" w:sz="0" w:space="0" w:color="auto"/>
          </w:divBdr>
        </w:div>
        <w:div w:id="1760365499">
          <w:marLeft w:val="0"/>
          <w:marRight w:val="0"/>
          <w:marTop w:val="0"/>
          <w:marBottom w:val="0"/>
          <w:divBdr>
            <w:top w:val="none" w:sz="0" w:space="0" w:color="auto"/>
            <w:left w:val="none" w:sz="0" w:space="0" w:color="auto"/>
            <w:bottom w:val="none" w:sz="0" w:space="0" w:color="auto"/>
            <w:right w:val="none" w:sz="0" w:space="0" w:color="auto"/>
          </w:divBdr>
        </w:div>
        <w:div w:id="53630237">
          <w:marLeft w:val="0"/>
          <w:marRight w:val="0"/>
          <w:marTop w:val="0"/>
          <w:marBottom w:val="0"/>
          <w:divBdr>
            <w:top w:val="none" w:sz="0" w:space="0" w:color="auto"/>
            <w:left w:val="none" w:sz="0" w:space="0" w:color="auto"/>
            <w:bottom w:val="none" w:sz="0" w:space="0" w:color="auto"/>
            <w:right w:val="none" w:sz="0" w:space="0" w:color="auto"/>
          </w:divBdr>
        </w:div>
        <w:div w:id="1524129413">
          <w:marLeft w:val="0"/>
          <w:marRight w:val="0"/>
          <w:marTop w:val="0"/>
          <w:marBottom w:val="0"/>
          <w:divBdr>
            <w:top w:val="none" w:sz="0" w:space="0" w:color="auto"/>
            <w:left w:val="none" w:sz="0" w:space="0" w:color="auto"/>
            <w:bottom w:val="none" w:sz="0" w:space="0" w:color="auto"/>
            <w:right w:val="none" w:sz="0" w:space="0" w:color="auto"/>
          </w:divBdr>
        </w:div>
        <w:div w:id="626545358">
          <w:marLeft w:val="0"/>
          <w:marRight w:val="0"/>
          <w:marTop w:val="0"/>
          <w:marBottom w:val="0"/>
          <w:divBdr>
            <w:top w:val="none" w:sz="0" w:space="0" w:color="auto"/>
            <w:left w:val="none" w:sz="0" w:space="0" w:color="auto"/>
            <w:bottom w:val="none" w:sz="0" w:space="0" w:color="auto"/>
            <w:right w:val="none" w:sz="0" w:space="0" w:color="auto"/>
          </w:divBdr>
        </w:div>
        <w:div w:id="972715268">
          <w:marLeft w:val="0"/>
          <w:marRight w:val="0"/>
          <w:marTop w:val="0"/>
          <w:marBottom w:val="0"/>
          <w:divBdr>
            <w:top w:val="none" w:sz="0" w:space="0" w:color="auto"/>
            <w:left w:val="none" w:sz="0" w:space="0" w:color="auto"/>
            <w:bottom w:val="none" w:sz="0" w:space="0" w:color="auto"/>
            <w:right w:val="none" w:sz="0" w:space="0" w:color="auto"/>
          </w:divBdr>
        </w:div>
        <w:div w:id="1146555875">
          <w:marLeft w:val="0"/>
          <w:marRight w:val="0"/>
          <w:marTop w:val="0"/>
          <w:marBottom w:val="0"/>
          <w:divBdr>
            <w:top w:val="none" w:sz="0" w:space="0" w:color="auto"/>
            <w:left w:val="none" w:sz="0" w:space="0" w:color="auto"/>
            <w:bottom w:val="none" w:sz="0" w:space="0" w:color="auto"/>
            <w:right w:val="none" w:sz="0" w:space="0" w:color="auto"/>
          </w:divBdr>
        </w:div>
        <w:div w:id="1252086093">
          <w:marLeft w:val="0"/>
          <w:marRight w:val="0"/>
          <w:marTop w:val="0"/>
          <w:marBottom w:val="0"/>
          <w:divBdr>
            <w:top w:val="none" w:sz="0" w:space="0" w:color="auto"/>
            <w:left w:val="none" w:sz="0" w:space="0" w:color="auto"/>
            <w:bottom w:val="none" w:sz="0" w:space="0" w:color="auto"/>
            <w:right w:val="none" w:sz="0" w:space="0" w:color="auto"/>
          </w:divBdr>
        </w:div>
        <w:div w:id="348988404">
          <w:marLeft w:val="0"/>
          <w:marRight w:val="0"/>
          <w:marTop w:val="0"/>
          <w:marBottom w:val="0"/>
          <w:divBdr>
            <w:top w:val="none" w:sz="0" w:space="0" w:color="auto"/>
            <w:left w:val="none" w:sz="0" w:space="0" w:color="auto"/>
            <w:bottom w:val="none" w:sz="0" w:space="0" w:color="auto"/>
            <w:right w:val="none" w:sz="0" w:space="0" w:color="auto"/>
          </w:divBdr>
        </w:div>
        <w:div w:id="1331370984">
          <w:marLeft w:val="0"/>
          <w:marRight w:val="0"/>
          <w:marTop w:val="0"/>
          <w:marBottom w:val="0"/>
          <w:divBdr>
            <w:top w:val="none" w:sz="0" w:space="0" w:color="auto"/>
            <w:left w:val="none" w:sz="0" w:space="0" w:color="auto"/>
            <w:bottom w:val="none" w:sz="0" w:space="0" w:color="auto"/>
            <w:right w:val="none" w:sz="0" w:space="0" w:color="auto"/>
          </w:divBdr>
        </w:div>
        <w:div w:id="609508091">
          <w:marLeft w:val="0"/>
          <w:marRight w:val="0"/>
          <w:marTop w:val="0"/>
          <w:marBottom w:val="0"/>
          <w:divBdr>
            <w:top w:val="none" w:sz="0" w:space="0" w:color="auto"/>
            <w:left w:val="none" w:sz="0" w:space="0" w:color="auto"/>
            <w:bottom w:val="none" w:sz="0" w:space="0" w:color="auto"/>
            <w:right w:val="none" w:sz="0" w:space="0" w:color="auto"/>
          </w:divBdr>
        </w:div>
        <w:div w:id="18134740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277</Words>
  <Characters>1585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7</cp:revision>
  <dcterms:created xsi:type="dcterms:W3CDTF">2017-07-23T06:42:00Z</dcterms:created>
  <dcterms:modified xsi:type="dcterms:W3CDTF">2018-09-23T09:01:00Z</dcterms:modified>
</cp:coreProperties>
</file>