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AE8DF" w14:textId="640AFC0E" w:rsidR="006C0710" w:rsidRPr="00A20387" w:rsidRDefault="006C0710" w:rsidP="006C0710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  <w:r w:rsidRPr="00A20387">
        <w:rPr>
          <w:rFonts w:ascii="Arial" w:eastAsia="Calibri" w:hAnsi="Arial" w:cs="Arial"/>
          <w:b/>
          <w:sz w:val="24"/>
          <w:szCs w:val="24"/>
        </w:rPr>
        <w:t>A comparison of major amputation rates and outcomes for Indigenous and non-Indigenous Australians</w:t>
      </w:r>
      <w:r w:rsidR="008A2DEB">
        <w:rPr>
          <w:rFonts w:ascii="Arial" w:eastAsia="Calibri" w:hAnsi="Arial" w:cs="Arial"/>
          <w:b/>
          <w:sz w:val="24"/>
          <w:szCs w:val="24"/>
        </w:rPr>
        <w:t xml:space="preserve"> in a major tertiary hospital</w:t>
      </w:r>
      <w:r w:rsidRPr="00A20387">
        <w:rPr>
          <w:rFonts w:ascii="Arial" w:eastAsia="Calibri" w:hAnsi="Arial" w:cs="Arial"/>
          <w:b/>
          <w:sz w:val="24"/>
          <w:szCs w:val="24"/>
        </w:rPr>
        <w:t>.</w:t>
      </w:r>
    </w:p>
    <w:p w14:paraId="7B148B33" w14:textId="15364442" w:rsidR="006C0710" w:rsidRPr="00A20387" w:rsidRDefault="006C0710" w:rsidP="00A20387">
      <w:pPr>
        <w:pStyle w:val="NormalWeb"/>
        <w:rPr>
          <w:rFonts w:ascii="Arial" w:hAnsi="Arial" w:cs="Arial"/>
        </w:rPr>
      </w:pPr>
      <w:r w:rsidRPr="00A20387">
        <w:rPr>
          <w:rFonts w:ascii="Arial" w:hAnsi="Arial" w:cs="Arial"/>
          <w:b/>
        </w:rPr>
        <w:t>Authors:</w:t>
      </w:r>
      <w:r w:rsidRPr="00A20387">
        <w:rPr>
          <w:rFonts w:ascii="Arial" w:hAnsi="Arial" w:cs="Arial"/>
        </w:rPr>
        <w:t xml:space="preserve"> </w:t>
      </w:r>
      <w:r w:rsidRPr="00061A53">
        <w:rPr>
          <w:rFonts w:ascii="Arial" w:hAnsi="Arial" w:cs="Arial"/>
          <w:u w:val="single"/>
        </w:rPr>
        <w:t>Tejas P. Singh</w:t>
      </w:r>
      <w:r w:rsidRPr="00061A53">
        <w:rPr>
          <w:rFonts w:ascii="Arial" w:hAnsi="Arial" w:cs="Arial"/>
          <w:u w:val="single"/>
          <w:vertAlign w:val="superscript"/>
        </w:rPr>
        <w:t>†1,2</w:t>
      </w:r>
      <w:r w:rsidRPr="00A20387">
        <w:rPr>
          <w:rFonts w:ascii="Arial" w:hAnsi="Arial" w:cs="Arial"/>
        </w:rPr>
        <w:t>, Samantha Peden</w:t>
      </w:r>
      <w:r w:rsidRPr="00A20387">
        <w:rPr>
          <w:rFonts w:ascii="Arial" w:hAnsi="Arial" w:cs="Arial"/>
          <w:vertAlign w:val="superscript"/>
        </w:rPr>
        <w:t>1</w:t>
      </w:r>
      <w:r w:rsidRPr="00A20387">
        <w:rPr>
          <w:rFonts w:ascii="Arial" w:hAnsi="Arial" w:cs="Arial"/>
        </w:rPr>
        <w:t>, Ammarah Tahir</w:t>
      </w:r>
      <w:r w:rsidRPr="00A20387">
        <w:rPr>
          <w:rFonts w:ascii="Arial" w:hAnsi="Arial" w:cs="Arial"/>
          <w:vertAlign w:val="superscript"/>
        </w:rPr>
        <w:t>1</w:t>
      </w:r>
      <w:r w:rsidRPr="00A20387">
        <w:rPr>
          <w:rFonts w:ascii="Arial" w:hAnsi="Arial" w:cs="Arial"/>
        </w:rPr>
        <w:t>, Vikram Iyer</w:t>
      </w:r>
      <w:r w:rsidRPr="00A20387">
        <w:rPr>
          <w:rFonts w:ascii="Arial" w:hAnsi="Arial" w:cs="Arial"/>
          <w:vertAlign w:val="superscript"/>
        </w:rPr>
        <w:t>1</w:t>
      </w:r>
      <w:r w:rsidR="00DB3C83">
        <w:rPr>
          <w:rFonts w:ascii="Arial" w:hAnsi="Arial" w:cs="Arial"/>
          <w:vertAlign w:val="superscript"/>
        </w:rPr>
        <w:t>,</w:t>
      </w:r>
      <w:r w:rsidR="00DB3C83" w:rsidRPr="00A20387">
        <w:rPr>
          <w:rFonts w:ascii="Arial" w:hAnsi="Arial" w:cs="Arial"/>
          <w:vertAlign w:val="superscript"/>
        </w:rPr>
        <w:t>2</w:t>
      </w:r>
      <w:r w:rsidRPr="00A20387">
        <w:rPr>
          <w:rFonts w:ascii="Arial" w:hAnsi="Arial" w:cs="Arial"/>
        </w:rPr>
        <w:t>, Ramesh Velu</w:t>
      </w:r>
      <w:r w:rsidRPr="00A20387">
        <w:rPr>
          <w:rFonts w:ascii="Arial" w:hAnsi="Arial" w:cs="Arial"/>
          <w:vertAlign w:val="superscript"/>
        </w:rPr>
        <w:t>1</w:t>
      </w:r>
      <w:r w:rsidRPr="00A20387">
        <w:rPr>
          <w:rFonts w:ascii="Arial" w:hAnsi="Arial" w:cs="Arial"/>
        </w:rPr>
        <w:t>, Joseph V. Moxon</w:t>
      </w:r>
      <w:r w:rsidRPr="00A20387">
        <w:rPr>
          <w:rFonts w:ascii="Arial" w:hAnsi="Arial" w:cs="Arial"/>
          <w:vertAlign w:val="superscript"/>
        </w:rPr>
        <w:t>1</w:t>
      </w:r>
      <w:r w:rsidRPr="00A20387">
        <w:rPr>
          <w:rFonts w:ascii="Arial" w:hAnsi="Arial" w:cs="Arial"/>
        </w:rPr>
        <w:t>, Yvonne Cadet-James</w:t>
      </w:r>
      <w:r w:rsidRPr="00A20387">
        <w:rPr>
          <w:rFonts w:ascii="Arial" w:hAnsi="Arial" w:cs="Arial"/>
          <w:vertAlign w:val="superscript"/>
        </w:rPr>
        <w:t>3</w:t>
      </w:r>
      <w:r w:rsidRPr="00A20387">
        <w:rPr>
          <w:rFonts w:ascii="Arial" w:hAnsi="Arial" w:cs="Arial"/>
        </w:rPr>
        <w:t xml:space="preserve"> Jonathan Golledge</w:t>
      </w:r>
      <w:r w:rsidRPr="00A20387">
        <w:rPr>
          <w:rFonts w:ascii="Arial" w:hAnsi="Arial" w:cs="Arial"/>
          <w:vertAlign w:val="superscript"/>
        </w:rPr>
        <w:t>1,2</w:t>
      </w:r>
      <w:r w:rsidRPr="00A20387">
        <w:rPr>
          <w:rFonts w:ascii="Arial" w:hAnsi="Arial" w:cs="Arial"/>
        </w:rPr>
        <w:t xml:space="preserve">. </w:t>
      </w:r>
    </w:p>
    <w:p w14:paraId="1257CD72" w14:textId="77777777" w:rsidR="00CC0B42" w:rsidRDefault="006C0710" w:rsidP="00CC0B42">
      <w:pPr>
        <w:pStyle w:val="NormalWeb"/>
        <w:rPr>
          <w:rFonts w:ascii="Arial" w:hAnsi="Arial" w:cs="Arial"/>
        </w:rPr>
      </w:pPr>
      <w:r w:rsidRPr="00A20387">
        <w:rPr>
          <w:rFonts w:ascii="Arial" w:hAnsi="Arial" w:cs="Arial"/>
          <w:vertAlign w:val="superscript"/>
        </w:rPr>
        <w:t>1</w:t>
      </w:r>
      <w:r w:rsidRPr="00A20387">
        <w:rPr>
          <w:rFonts w:ascii="Arial" w:hAnsi="Arial" w:cs="Arial"/>
        </w:rPr>
        <w:t xml:space="preserve">Queensland Research Centre for Peripheral Vascular Disease, College of Medicine and Dentistry, James Cook University, Townsville, Queensland, Australia. </w:t>
      </w:r>
    </w:p>
    <w:p w14:paraId="3B73947D" w14:textId="5C145042" w:rsidR="00CC0B42" w:rsidRDefault="006C0710" w:rsidP="00CC0B42">
      <w:pPr>
        <w:pStyle w:val="NormalWeb"/>
        <w:rPr>
          <w:rFonts w:ascii="Arial" w:hAnsi="Arial" w:cs="Arial"/>
        </w:rPr>
      </w:pPr>
      <w:r w:rsidRPr="00A20387">
        <w:rPr>
          <w:rFonts w:ascii="Arial" w:hAnsi="Arial" w:cs="Arial"/>
          <w:vertAlign w:val="superscript"/>
        </w:rPr>
        <w:t>2</w:t>
      </w:r>
      <w:r w:rsidRPr="00A20387">
        <w:rPr>
          <w:rFonts w:ascii="Arial" w:hAnsi="Arial" w:cs="Arial"/>
        </w:rPr>
        <w:t xml:space="preserve">Department of Vascular and Endovascular Surgery, The Townsville Hospital, Townsville, Queensland, Australia. </w:t>
      </w:r>
    </w:p>
    <w:p w14:paraId="52BD6765" w14:textId="0C8A949A" w:rsidR="006C0710" w:rsidRPr="00A20387" w:rsidRDefault="006C0710" w:rsidP="00CC0B42">
      <w:pPr>
        <w:pStyle w:val="NormalWeb"/>
        <w:rPr>
          <w:rFonts w:ascii="Arial" w:hAnsi="Arial" w:cs="Arial"/>
        </w:rPr>
      </w:pPr>
      <w:r w:rsidRPr="00A20387">
        <w:rPr>
          <w:rFonts w:ascii="Arial" w:hAnsi="Arial" w:cs="Arial"/>
          <w:vertAlign w:val="superscript"/>
        </w:rPr>
        <w:t>3</w:t>
      </w:r>
      <w:r w:rsidRPr="00A20387">
        <w:rPr>
          <w:rFonts w:ascii="Arial" w:hAnsi="Arial" w:cs="Arial"/>
        </w:rPr>
        <w:t>Indigenous Centre, James Cook University, Townsville, Queensland, Australia.</w:t>
      </w:r>
    </w:p>
    <w:p w14:paraId="4734808E" w14:textId="6BE67DA8" w:rsidR="006C0710" w:rsidRPr="00A20387" w:rsidRDefault="006C0710" w:rsidP="00CC0B42">
      <w:pPr>
        <w:pStyle w:val="NormalWeb"/>
        <w:rPr>
          <w:rFonts w:ascii="Arial" w:hAnsi="Arial" w:cs="Arial"/>
        </w:rPr>
      </w:pPr>
      <w:r w:rsidRPr="00871EC1">
        <w:rPr>
          <w:rFonts w:ascii="Arial" w:hAnsi="Arial" w:cs="Arial"/>
          <w:vertAlign w:val="superscript"/>
        </w:rPr>
        <w:t>†</w:t>
      </w:r>
      <w:r w:rsidRPr="00A20387">
        <w:rPr>
          <w:rFonts w:ascii="Arial" w:hAnsi="Arial" w:cs="Arial"/>
        </w:rPr>
        <w:t>Presenting author</w:t>
      </w:r>
      <w:r w:rsidR="00871EC1">
        <w:rPr>
          <w:rFonts w:ascii="Arial" w:hAnsi="Arial" w:cs="Arial"/>
        </w:rPr>
        <w:t>.</w:t>
      </w:r>
      <w:r w:rsidRPr="00A20387">
        <w:rPr>
          <w:rFonts w:ascii="Arial" w:hAnsi="Arial" w:cs="Arial"/>
        </w:rPr>
        <w:t xml:space="preserve"> </w:t>
      </w:r>
    </w:p>
    <w:p w14:paraId="4434B2E2" w14:textId="77777777" w:rsidR="006C0710" w:rsidRPr="00A20387" w:rsidRDefault="006C0710" w:rsidP="006C0710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  <w:r w:rsidRPr="00A20387">
        <w:rPr>
          <w:rFonts w:ascii="Arial" w:eastAsia="Calibri" w:hAnsi="Arial" w:cs="Arial"/>
          <w:b/>
          <w:sz w:val="24"/>
          <w:szCs w:val="24"/>
        </w:rPr>
        <w:t>Abstract</w:t>
      </w:r>
    </w:p>
    <w:p w14:paraId="34BF6623" w14:textId="49D021CF" w:rsidR="006C0710" w:rsidRPr="00A20387" w:rsidRDefault="0014030B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bookmarkStart w:id="0" w:name="_Hlk504915242"/>
      <w:r>
        <w:rPr>
          <w:rFonts w:ascii="Arial" w:hAnsi="Arial" w:cs="Arial"/>
          <w:b/>
          <w:sz w:val="24"/>
          <w:szCs w:val="24"/>
        </w:rPr>
        <w:t>Aim</w:t>
      </w:r>
      <w:r w:rsidR="006C0710" w:rsidRPr="00A20387">
        <w:rPr>
          <w:rFonts w:ascii="Arial" w:hAnsi="Arial" w:cs="Arial"/>
          <w:b/>
          <w:sz w:val="24"/>
          <w:szCs w:val="24"/>
        </w:rPr>
        <w:t xml:space="preserve">: </w:t>
      </w:r>
      <w:r w:rsidR="006C0710" w:rsidRPr="00A20387">
        <w:rPr>
          <w:rFonts w:ascii="Arial" w:hAnsi="Arial" w:cs="Arial"/>
          <w:sz w:val="24"/>
          <w:szCs w:val="24"/>
        </w:rPr>
        <w:t>Indigenous Australians</w:t>
      </w:r>
      <w:r w:rsidR="00B958CC">
        <w:rPr>
          <w:rFonts w:ascii="Arial" w:hAnsi="Arial" w:cs="Arial"/>
          <w:sz w:val="24"/>
          <w:szCs w:val="24"/>
        </w:rPr>
        <w:t xml:space="preserve"> </w:t>
      </w:r>
      <w:r w:rsidR="006C0710" w:rsidRPr="00A20387">
        <w:rPr>
          <w:rFonts w:ascii="Arial" w:hAnsi="Arial" w:cs="Arial"/>
          <w:sz w:val="24"/>
          <w:szCs w:val="24"/>
        </w:rPr>
        <w:t xml:space="preserve">are at high risk of developing diabetes-related foot complications requiring major lower limb amputations. The aim of this study was to assess the incidence and outcome for </w:t>
      </w:r>
      <w:r w:rsidR="009E4C2C" w:rsidRPr="00A20387">
        <w:rPr>
          <w:rFonts w:ascii="Arial" w:hAnsi="Arial" w:cs="Arial"/>
          <w:sz w:val="24"/>
          <w:szCs w:val="24"/>
        </w:rPr>
        <w:t>Indigenous Australians</w:t>
      </w:r>
      <w:r w:rsidR="006C0710" w:rsidRPr="00A20387">
        <w:rPr>
          <w:rFonts w:ascii="Arial" w:hAnsi="Arial" w:cs="Arial"/>
          <w:sz w:val="24"/>
          <w:szCs w:val="24"/>
        </w:rPr>
        <w:t xml:space="preserve"> and </w:t>
      </w:r>
      <w:r w:rsidR="00B958CC">
        <w:rPr>
          <w:rFonts w:ascii="Arial" w:hAnsi="Arial" w:cs="Arial"/>
          <w:sz w:val="24"/>
          <w:szCs w:val="24"/>
        </w:rPr>
        <w:t>n</w:t>
      </w:r>
      <w:r w:rsidR="006C0710" w:rsidRPr="00A20387">
        <w:rPr>
          <w:rFonts w:ascii="Arial" w:hAnsi="Arial" w:cs="Arial"/>
          <w:sz w:val="24"/>
          <w:szCs w:val="24"/>
        </w:rPr>
        <w:t>on-Indigenous Australians</w:t>
      </w:r>
      <w:r w:rsidR="009E4C2C">
        <w:rPr>
          <w:rFonts w:ascii="Arial" w:hAnsi="Arial" w:cs="Arial"/>
          <w:sz w:val="24"/>
          <w:szCs w:val="24"/>
        </w:rPr>
        <w:t xml:space="preserve"> </w:t>
      </w:r>
      <w:r w:rsidR="006C0710" w:rsidRPr="00A20387">
        <w:rPr>
          <w:rFonts w:ascii="Arial" w:hAnsi="Arial" w:cs="Arial"/>
          <w:sz w:val="24"/>
          <w:szCs w:val="24"/>
        </w:rPr>
        <w:t xml:space="preserve">undergoing major amputations </w:t>
      </w:r>
      <w:r w:rsidR="00745316">
        <w:rPr>
          <w:rFonts w:ascii="Arial" w:hAnsi="Arial" w:cs="Arial"/>
          <w:sz w:val="24"/>
          <w:szCs w:val="24"/>
        </w:rPr>
        <w:t xml:space="preserve">(MA) </w:t>
      </w:r>
      <w:r w:rsidR="006C0710" w:rsidRPr="00A20387">
        <w:rPr>
          <w:rFonts w:ascii="Arial" w:hAnsi="Arial" w:cs="Arial"/>
          <w:sz w:val="24"/>
          <w:szCs w:val="24"/>
        </w:rPr>
        <w:t>at the main tertiary hospital</w:t>
      </w:r>
      <w:r w:rsidR="008A2DEB">
        <w:rPr>
          <w:rFonts w:ascii="Arial" w:hAnsi="Arial" w:cs="Arial"/>
          <w:sz w:val="24"/>
          <w:szCs w:val="24"/>
        </w:rPr>
        <w:t xml:space="preserve"> </w:t>
      </w:r>
      <w:r w:rsidR="006C0710" w:rsidRPr="00A20387">
        <w:rPr>
          <w:rFonts w:ascii="Arial" w:hAnsi="Arial" w:cs="Arial"/>
          <w:sz w:val="24"/>
          <w:szCs w:val="24"/>
        </w:rPr>
        <w:t>in North Queensland, Australia over a 1</w:t>
      </w:r>
      <w:r w:rsidR="00A20387">
        <w:rPr>
          <w:rFonts w:ascii="Arial" w:hAnsi="Arial" w:cs="Arial"/>
          <w:sz w:val="24"/>
          <w:szCs w:val="24"/>
        </w:rPr>
        <w:t>6</w:t>
      </w:r>
      <w:r w:rsidR="006C0710" w:rsidRPr="00A20387">
        <w:rPr>
          <w:rFonts w:ascii="Arial" w:hAnsi="Arial" w:cs="Arial"/>
          <w:sz w:val="24"/>
          <w:szCs w:val="24"/>
        </w:rPr>
        <w:t xml:space="preserve">-year period. </w:t>
      </w:r>
    </w:p>
    <w:p w14:paraId="2DBE24FB" w14:textId="27098282" w:rsidR="006C0710" w:rsidRPr="00A20387" w:rsidRDefault="008A2DEB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Methods</w:t>
      </w:r>
      <w:r w:rsidR="006C0710" w:rsidRPr="00A20387">
        <w:rPr>
          <w:rFonts w:ascii="Arial" w:hAnsi="Arial" w:cs="Arial"/>
          <w:b/>
          <w:sz w:val="24"/>
          <w:szCs w:val="24"/>
        </w:rPr>
        <w:t xml:space="preserve">: </w:t>
      </w:r>
      <w:r w:rsidR="006C0710" w:rsidRPr="00A20387">
        <w:rPr>
          <w:rFonts w:ascii="Arial" w:hAnsi="Arial" w:cs="Arial"/>
          <w:sz w:val="24"/>
          <w:szCs w:val="24"/>
        </w:rPr>
        <w:t xml:space="preserve">This was a retrospective study assessing all patients who underwent a </w:t>
      </w:r>
      <w:r w:rsidR="00745316">
        <w:rPr>
          <w:rFonts w:ascii="Arial" w:hAnsi="Arial" w:cs="Arial"/>
          <w:sz w:val="24"/>
          <w:szCs w:val="24"/>
        </w:rPr>
        <w:t>MA</w:t>
      </w:r>
      <w:r w:rsidR="006C0710" w:rsidRPr="00A20387">
        <w:rPr>
          <w:rFonts w:ascii="Arial" w:hAnsi="Arial" w:cs="Arial"/>
          <w:sz w:val="24"/>
          <w:szCs w:val="24"/>
        </w:rPr>
        <w:t xml:space="preserve"> at The Townsville Hospital between </w:t>
      </w:r>
      <w:r w:rsidR="00A20387">
        <w:rPr>
          <w:rFonts w:ascii="Arial" w:hAnsi="Arial" w:cs="Arial"/>
          <w:sz w:val="24"/>
          <w:szCs w:val="24"/>
        </w:rPr>
        <w:t>2000</w:t>
      </w:r>
      <w:r w:rsidR="004D1665">
        <w:rPr>
          <w:rFonts w:ascii="Arial" w:hAnsi="Arial" w:cs="Arial"/>
          <w:sz w:val="24"/>
          <w:szCs w:val="24"/>
        </w:rPr>
        <w:t xml:space="preserve"> and </w:t>
      </w:r>
      <w:r w:rsidR="00113510">
        <w:rPr>
          <w:rFonts w:ascii="Arial" w:hAnsi="Arial" w:cs="Arial"/>
          <w:sz w:val="24"/>
          <w:szCs w:val="24"/>
        </w:rPr>
        <w:t xml:space="preserve">2015. </w:t>
      </w:r>
      <w:r w:rsidR="005C0031">
        <w:rPr>
          <w:rFonts w:ascii="Arial" w:hAnsi="Arial" w:cs="Arial"/>
          <w:sz w:val="24"/>
          <w:szCs w:val="24"/>
        </w:rPr>
        <w:t xml:space="preserve">Clinical characteristics </w:t>
      </w:r>
      <w:r w:rsidR="006C0710" w:rsidRPr="00A20387">
        <w:rPr>
          <w:rFonts w:ascii="Arial" w:hAnsi="Arial" w:cs="Arial"/>
          <w:sz w:val="24"/>
          <w:szCs w:val="24"/>
        </w:rPr>
        <w:t xml:space="preserve">were compared using </w:t>
      </w:r>
      <w:r w:rsidR="006C0710" w:rsidRPr="00A20387">
        <w:rPr>
          <w:rFonts w:ascii="Arial" w:hAnsi="Arial" w:cs="Arial"/>
          <w:sz w:val="24"/>
        </w:rPr>
        <w:t>Pearson’s χ2 test and Mann Whitney U test</w:t>
      </w:r>
      <w:r w:rsidR="006C0710" w:rsidRPr="00A20387">
        <w:rPr>
          <w:rFonts w:ascii="Arial" w:hAnsi="Arial" w:cs="Arial"/>
          <w:sz w:val="24"/>
          <w:szCs w:val="24"/>
        </w:rPr>
        <w:t xml:space="preserve">. </w:t>
      </w:r>
      <w:r w:rsidR="00397274">
        <w:rPr>
          <w:rFonts w:ascii="Arial" w:hAnsi="Arial" w:cs="Arial"/>
          <w:sz w:val="24"/>
          <w:szCs w:val="24"/>
        </w:rPr>
        <w:t>MA</w:t>
      </w:r>
      <w:r w:rsidR="00E9000C">
        <w:rPr>
          <w:rFonts w:ascii="Arial" w:hAnsi="Arial" w:cs="Arial"/>
          <w:sz w:val="24"/>
          <w:szCs w:val="24"/>
        </w:rPr>
        <w:t xml:space="preserve"> rates</w:t>
      </w:r>
      <w:r w:rsidR="006C0710" w:rsidRPr="00A20387">
        <w:rPr>
          <w:rFonts w:ascii="Arial" w:hAnsi="Arial" w:cs="Arial"/>
          <w:sz w:val="24"/>
          <w:szCs w:val="24"/>
        </w:rPr>
        <w:t xml:space="preserve"> (per 100,000) were calculated using the census data as the standard population. Kaplan Meier survival analysis and Cox proportional hazard analysis compared the incidence of all-cause mortality among </w:t>
      </w:r>
      <w:r w:rsidR="00A9583B">
        <w:rPr>
          <w:rFonts w:ascii="Arial" w:hAnsi="Arial" w:cs="Arial"/>
          <w:sz w:val="24"/>
          <w:szCs w:val="24"/>
        </w:rPr>
        <w:t>both groups</w:t>
      </w:r>
      <w:r w:rsidR="00B958CC">
        <w:rPr>
          <w:rFonts w:ascii="Arial" w:hAnsi="Arial" w:cs="Arial"/>
          <w:sz w:val="24"/>
          <w:szCs w:val="24"/>
        </w:rPr>
        <w:t xml:space="preserve">. </w:t>
      </w:r>
    </w:p>
    <w:p w14:paraId="729D89F9" w14:textId="28BD4226" w:rsidR="006C0710" w:rsidRPr="00A20387" w:rsidRDefault="006C0710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20387">
        <w:rPr>
          <w:rFonts w:ascii="Arial" w:hAnsi="Arial" w:cs="Arial"/>
          <w:b/>
          <w:sz w:val="24"/>
          <w:szCs w:val="24"/>
        </w:rPr>
        <w:t xml:space="preserve">Results: </w:t>
      </w:r>
      <w:r w:rsidRPr="00A20387">
        <w:rPr>
          <w:rFonts w:ascii="Arial" w:hAnsi="Arial" w:cs="Arial"/>
          <w:sz w:val="24"/>
          <w:szCs w:val="24"/>
        </w:rPr>
        <w:t>A total of 37</w:t>
      </w:r>
      <w:r w:rsidR="00A20387">
        <w:rPr>
          <w:rFonts w:ascii="Arial" w:hAnsi="Arial" w:cs="Arial"/>
          <w:sz w:val="24"/>
          <w:szCs w:val="24"/>
        </w:rPr>
        <w:t>4</w:t>
      </w:r>
      <w:r w:rsidRPr="00A20387">
        <w:rPr>
          <w:rFonts w:ascii="Arial" w:hAnsi="Arial" w:cs="Arial"/>
          <w:sz w:val="24"/>
          <w:szCs w:val="24"/>
        </w:rPr>
        <w:t xml:space="preserve"> </w:t>
      </w:r>
      <w:r w:rsidR="00745316">
        <w:rPr>
          <w:rFonts w:ascii="Arial" w:hAnsi="Arial" w:cs="Arial"/>
          <w:sz w:val="24"/>
          <w:szCs w:val="24"/>
        </w:rPr>
        <w:t>MA</w:t>
      </w:r>
      <w:r w:rsidRPr="00A20387">
        <w:rPr>
          <w:rFonts w:ascii="Arial" w:hAnsi="Arial" w:cs="Arial"/>
          <w:sz w:val="24"/>
          <w:szCs w:val="24"/>
        </w:rPr>
        <w:t xml:space="preserve"> occurred between </w:t>
      </w:r>
      <w:r w:rsidR="00A20387">
        <w:rPr>
          <w:rFonts w:ascii="Arial" w:hAnsi="Arial" w:cs="Arial"/>
          <w:sz w:val="24"/>
          <w:szCs w:val="24"/>
        </w:rPr>
        <w:t>2000</w:t>
      </w:r>
      <w:r w:rsidR="004D1665">
        <w:rPr>
          <w:rFonts w:ascii="Arial" w:hAnsi="Arial" w:cs="Arial"/>
          <w:sz w:val="24"/>
          <w:szCs w:val="24"/>
        </w:rPr>
        <w:t xml:space="preserve"> and </w:t>
      </w:r>
      <w:r w:rsidRPr="00A20387">
        <w:rPr>
          <w:rFonts w:ascii="Arial" w:hAnsi="Arial" w:cs="Arial"/>
          <w:sz w:val="24"/>
          <w:szCs w:val="24"/>
        </w:rPr>
        <w:t xml:space="preserve">2015. </w:t>
      </w:r>
      <w:r w:rsidR="00A20387">
        <w:rPr>
          <w:rFonts w:ascii="Arial" w:hAnsi="Arial" w:cs="Arial"/>
          <w:sz w:val="24"/>
          <w:szCs w:val="24"/>
        </w:rPr>
        <w:t>Seventy</w:t>
      </w:r>
      <w:r w:rsidRPr="00A20387">
        <w:rPr>
          <w:rFonts w:ascii="Arial" w:hAnsi="Arial" w:cs="Arial"/>
          <w:sz w:val="24"/>
          <w:szCs w:val="24"/>
        </w:rPr>
        <w:t xml:space="preserve"> </w:t>
      </w:r>
      <w:r w:rsidR="00D37A7F">
        <w:rPr>
          <w:rFonts w:ascii="Arial" w:hAnsi="Arial" w:cs="Arial"/>
          <w:sz w:val="24"/>
          <w:szCs w:val="24"/>
        </w:rPr>
        <w:t>MA</w:t>
      </w:r>
      <w:r w:rsidRPr="00A20387">
        <w:rPr>
          <w:rFonts w:ascii="Arial" w:hAnsi="Arial" w:cs="Arial"/>
          <w:sz w:val="24"/>
          <w:szCs w:val="24"/>
        </w:rPr>
        <w:t xml:space="preserve"> occurred in </w:t>
      </w:r>
      <w:r w:rsidR="00CA3F16" w:rsidRPr="00A20387">
        <w:rPr>
          <w:rFonts w:ascii="Arial" w:hAnsi="Arial" w:cs="Arial"/>
          <w:sz w:val="24"/>
          <w:szCs w:val="24"/>
        </w:rPr>
        <w:t>Indigenous Australians</w:t>
      </w:r>
      <w:r w:rsidRPr="00A20387">
        <w:rPr>
          <w:rFonts w:ascii="Arial" w:hAnsi="Arial" w:cs="Arial"/>
          <w:sz w:val="24"/>
          <w:szCs w:val="24"/>
        </w:rPr>
        <w:t xml:space="preserve"> and 304 occurred in non-</w:t>
      </w:r>
      <w:r w:rsidR="00CA3F16" w:rsidRPr="00A20387">
        <w:rPr>
          <w:rFonts w:ascii="Arial" w:hAnsi="Arial" w:cs="Arial"/>
          <w:sz w:val="24"/>
          <w:szCs w:val="24"/>
        </w:rPr>
        <w:t>Indigenous Australians</w:t>
      </w:r>
      <w:r w:rsidRPr="00A20387">
        <w:rPr>
          <w:rFonts w:ascii="Arial" w:hAnsi="Arial" w:cs="Arial"/>
          <w:sz w:val="24"/>
          <w:szCs w:val="24"/>
        </w:rPr>
        <w:t xml:space="preserve">. </w:t>
      </w:r>
      <w:r w:rsidR="00CA3F16" w:rsidRPr="00A20387">
        <w:rPr>
          <w:rFonts w:ascii="Arial" w:hAnsi="Arial" w:cs="Arial"/>
          <w:sz w:val="24"/>
          <w:szCs w:val="24"/>
        </w:rPr>
        <w:t xml:space="preserve">Indigenous </w:t>
      </w:r>
      <w:r w:rsidR="00CA3F16">
        <w:rPr>
          <w:rFonts w:ascii="Arial" w:hAnsi="Arial" w:cs="Arial"/>
          <w:sz w:val="24"/>
          <w:szCs w:val="24"/>
        </w:rPr>
        <w:t>patients</w:t>
      </w:r>
      <w:r w:rsidRPr="00A20387">
        <w:rPr>
          <w:rFonts w:ascii="Arial" w:hAnsi="Arial" w:cs="Arial"/>
          <w:sz w:val="24"/>
          <w:szCs w:val="24"/>
        </w:rPr>
        <w:t xml:space="preserve"> were </w:t>
      </w:r>
      <w:r w:rsidR="00B958CC" w:rsidRPr="00A20387">
        <w:rPr>
          <w:rFonts w:ascii="Arial" w:hAnsi="Arial" w:cs="Arial"/>
          <w:sz w:val="24"/>
          <w:szCs w:val="24"/>
        </w:rPr>
        <w:t xml:space="preserve">younger </w:t>
      </w:r>
      <w:r w:rsidR="00B958CC" w:rsidRPr="00A20387">
        <w:rPr>
          <w:rFonts w:ascii="Arial" w:hAnsi="Arial" w:cs="Arial"/>
          <w:sz w:val="24"/>
        </w:rPr>
        <w:t>(</w:t>
      </w:r>
      <w:r w:rsidRPr="00A20387">
        <w:rPr>
          <w:rFonts w:ascii="Arial" w:hAnsi="Arial" w:cs="Arial"/>
          <w:i/>
          <w:sz w:val="24"/>
        </w:rPr>
        <w:t>p</w:t>
      </w:r>
      <w:r w:rsidRPr="00A20387">
        <w:rPr>
          <w:rFonts w:ascii="Arial" w:hAnsi="Arial" w:cs="Arial"/>
          <w:sz w:val="24"/>
        </w:rPr>
        <w:t>&lt;0.005)</w:t>
      </w:r>
      <w:r w:rsidRPr="00A20387">
        <w:rPr>
          <w:rFonts w:ascii="Arial" w:hAnsi="Arial" w:cs="Arial"/>
          <w:sz w:val="24"/>
          <w:szCs w:val="24"/>
        </w:rPr>
        <w:t xml:space="preserve">, more likely to be females </w:t>
      </w:r>
      <w:r w:rsidRPr="00A20387">
        <w:rPr>
          <w:rFonts w:ascii="Arial" w:hAnsi="Arial" w:cs="Arial"/>
          <w:sz w:val="24"/>
        </w:rPr>
        <w:t>(</w:t>
      </w:r>
      <w:r w:rsidRPr="00A20387">
        <w:rPr>
          <w:rFonts w:ascii="Arial" w:hAnsi="Arial" w:cs="Arial"/>
          <w:i/>
          <w:sz w:val="24"/>
        </w:rPr>
        <w:t>p</w:t>
      </w:r>
      <w:r w:rsidRPr="00A20387">
        <w:rPr>
          <w:rFonts w:ascii="Arial" w:hAnsi="Arial" w:cs="Arial"/>
          <w:sz w:val="24"/>
        </w:rPr>
        <w:t>=0.00</w:t>
      </w:r>
      <w:r w:rsidR="00A20387">
        <w:rPr>
          <w:rFonts w:ascii="Arial" w:hAnsi="Arial" w:cs="Arial"/>
          <w:sz w:val="24"/>
        </w:rPr>
        <w:t>2</w:t>
      </w:r>
      <w:r w:rsidRPr="00A20387">
        <w:rPr>
          <w:rFonts w:ascii="Arial" w:hAnsi="Arial" w:cs="Arial"/>
          <w:sz w:val="24"/>
        </w:rPr>
        <w:t xml:space="preserve">), </w:t>
      </w:r>
      <w:r w:rsidRPr="00A20387">
        <w:rPr>
          <w:rFonts w:ascii="Arial" w:hAnsi="Arial" w:cs="Arial"/>
          <w:sz w:val="24"/>
          <w:szCs w:val="24"/>
        </w:rPr>
        <w:t>have diabetes (</w:t>
      </w:r>
      <w:r w:rsidRPr="00A20387">
        <w:rPr>
          <w:rFonts w:ascii="Arial" w:hAnsi="Arial" w:cs="Arial"/>
          <w:i/>
          <w:sz w:val="24"/>
          <w:szCs w:val="24"/>
        </w:rPr>
        <w:t>p</w:t>
      </w:r>
      <w:r w:rsidRPr="00A20387">
        <w:rPr>
          <w:rFonts w:ascii="Arial" w:hAnsi="Arial" w:cs="Arial"/>
          <w:sz w:val="24"/>
          <w:szCs w:val="24"/>
        </w:rPr>
        <w:t>&lt;0.005)</w:t>
      </w:r>
      <w:r w:rsidR="00A20387">
        <w:rPr>
          <w:rFonts w:ascii="Arial" w:hAnsi="Arial" w:cs="Arial"/>
          <w:sz w:val="24"/>
          <w:szCs w:val="24"/>
        </w:rPr>
        <w:t xml:space="preserve">, </w:t>
      </w:r>
      <w:r w:rsidRPr="00A20387">
        <w:rPr>
          <w:rFonts w:ascii="Arial" w:hAnsi="Arial" w:cs="Arial"/>
          <w:sz w:val="24"/>
          <w:szCs w:val="24"/>
        </w:rPr>
        <w:t>end-stage renal failure (</w:t>
      </w:r>
      <w:r w:rsidRPr="00A20387">
        <w:rPr>
          <w:rFonts w:ascii="Arial" w:hAnsi="Arial" w:cs="Arial"/>
          <w:i/>
          <w:sz w:val="24"/>
          <w:szCs w:val="24"/>
        </w:rPr>
        <w:t>p</w:t>
      </w:r>
      <w:r w:rsidRPr="00A20387">
        <w:rPr>
          <w:rFonts w:ascii="Arial" w:hAnsi="Arial" w:cs="Arial"/>
          <w:sz w:val="24"/>
          <w:szCs w:val="24"/>
        </w:rPr>
        <w:t>=0.0</w:t>
      </w:r>
      <w:r w:rsidR="00A20387">
        <w:rPr>
          <w:rFonts w:ascii="Arial" w:hAnsi="Arial" w:cs="Arial"/>
          <w:sz w:val="24"/>
          <w:szCs w:val="24"/>
        </w:rPr>
        <w:t>03</w:t>
      </w:r>
      <w:r w:rsidRPr="00A20387">
        <w:rPr>
          <w:rFonts w:ascii="Arial" w:hAnsi="Arial" w:cs="Arial"/>
          <w:sz w:val="24"/>
          <w:szCs w:val="24"/>
        </w:rPr>
        <w:t>)</w:t>
      </w:r>
      <w:r w:rsidR="00A20387">
        <w:rPr>
          <w:rFonts w:ascii="Arial" w:hAnsi="Arial" w:cs="Arial"/>
          <w:sz w:val="24"/>
          <w:szCs w:val="24"/>
        </w:rPr>
        <w:t xml:space="preserve">, and were more likely to die </w:t>
      </w:r>
      <w:r w:rsidR="00DF130F">
        <w:rPr>
          <w:rFonts w:ascii="Arial" w:hAnsi="Arial" w:cs="Arial"/>
          <w:sz w:val="24"/>
          <w:szCs w:val="24"/>
        </w:rPr>
        <w:t xml:space="preserve">during </w:t>
      </w:r>
      <w:r w:rsidR="00A20387">
        <w:rPr>
          <w:rFonts w:ascii="Arial" w:hAnsi="Arial" w:cs="Arial"/>
          <w:sz w:val="24"/>
          <w:szCs w:val="24"/>
        </w:rPr>
        <w:t>follow-up (</w:t>
      </w:r>
      <w:r w:rsidR="00A20387">
        <w:rPr>
          <w:rFonts w:ascii="Arial" w:hAnsi="Arial" w:cs="Arial"/>
          <w:i/>
          <w:sz w:val="24"/>
          <w:szCs w:val="24"/>
        </w:rPr>
        <w:t>p</w:t>
      </w:r>
      <w:r w:rsidR="00A20387">
        <w:rPr>
          <w:rFonts w:ascii="Arial" w:hAnsi="Arial" w:cs="Arial"/>
          <w:sz w:val="24"/>
          <w:szCs w:val="24"/>
        </w:rPr>
        <w:t>=0.028)</w:t>
      </w:r>
      <w:r w:rsidRPr="00A20387">
        <w:rPr>
          <w:rFonts w:ascii="Arial" w:hAnsi="Arial" w:cs="Arial"/>
          <w:sz w:val="24"/>
          <w:szCs w:val="24"/>
        </w:rPr>
        <w:t xml:space="preserve">. </w:t>
      </w:r>
      <w:r w:rsidR="00360F8D">
        <w:rPr>
          <w:rFonts w:ascii="Arial" w:hAnsi="Arial" w:cs="Arial"/>
          <w:sz w:val="24"/>
          <w:szCs w:val="24"/>
        </w:rPr>
        <w:t>Overall, r</w:t>
      </w:r>
      <w:r w:rsidRPr="00A20387">
        <w:rPr>
          <w:rFonts w:ascii="Arial" w:hAnsi="Arial" w:cs="Arial"/>
          <w:sz w:val="24"/>
          <w:szCs w:val="24"/>
        </w:rPr>
        <w:t xml:space="preserve">ates of </w:t>
      </w:r>
      <w:r w:rsidR="00745316">
        <w:rPr>
          <w:rFonts w:ascii="Arial" w:hAnsi="Arial" w:cs="Arial"/>
          <w:sz w:val="24"/>
          <w:szCs w:val="24"/>
        </w:rPr>
        <w:t>MA</w:t>
      </w:r>
      <w:r w:rsidRPr="00A20387">
        <w:rPr>
          <w:rFonts w:ascii="Arial" w:hAnsi="Arial" w:cs="Arial"/>
          <w:sz w:val="24"/>
          <w:szCs w:val="24"/>
        </w:rPr>
        <w:t xml:space="preserve"> in </w:t>
      </w:r>
      <w:r w:rsidR="00CA3F16" w:rsidRPr="00A20387">
        <w:rPr>
          <w:rFonts w:ascii="Arial" w:hAnsi="Arial" w:cs="Arial"/>
          <w:sz w:val="24"/>
          <w:szCs w:val="24"/>
        </w:rPr>
        <w:t xml:space="preserve">Indigenous </w:t>
      </w:r>
      <w:r w:rsidRPr="00A20387">
        <w:rPr>
          <w:rFonts w:ascii="Arial" w:hAnsi="Arial" w:cs="Arial"/>
          <w:sz w:val="24"/>
          <w:szCs w:val="24"/>
        </w:rPr>
        <w:t>and non-</w:t>
      </w:r>
      <w:r w:rsidR="00CA3F16" w:rsidRPr="00A20387">
        <w:rPr>
          <w:rFonts w:ascii="Arial" w:hAnsi="Arial" w:cs="Arial"/>
          <w:sz w:val="24"/>
          <w:szCs w:val="24"/>
        </w:rPr>
        <w:t xml:space="preserve">Indigenous </w:t>
      </w:r>
      <w:r w:rsidR="00CA3F16">
        <w:rPr>
          <w:rFonts w:ascii="Arial" w:hAnsi="Arial" w:cs="Arial"/>
          <w:sz w:val="24"/>
          <w:szCs w:val="24"/>
        </w:rPr>
        <w:t>patients</w:t>
      </w:r>
      <w:r w:rsidRPr="00A20387">
        <w:rPr>
          <w:rFonts w:ascii="Arial" w:hAnsi="Arial" w:cs="Arial"/>
          <w:sz w:val="24"/>
          <w:szCs w:val="24"/>
        </w:rPr>
        <w:t xml:space="preserve"> with diabetes was 2</w:t>
      </w:r>
      <w:r w:rsidR="00B958CC">
        <w:rPr>
          <w:rFonts w:ascii="Arial" w:hAnsi="Arial" w:cs="Arial"/>
          <w:sz w:val="24"/>
          <w:szCs w:val="24"/>
        </w:rPr>
        <w:t>91</w:t>
      </w:r>
      <w:r w:rsidRPr="00A20387">
        <w:rPr>
          <w:rFonts w:ascii="Arial" w:hAnsi="Arial" w:cs="Arial"/>
          <w:sz w:val="24"/>
          <w:szCs w:val="24"/>
        </w:rPr>
        <w:t>.</w:t>
      </w:r>
      <w:r w:rsidR="00B958CC">
        <w:rPr>
          <w:rFonts w:ascii="Arial" w:hAnsi="Arial" w:cs="Arial"/>
          <w:sz w:val="24"/>
          <w:szCs w:val="24"/>
        </w:rPr>
        <w:t>9</w:t>
      </w:r>
      <w:r w:rsidRPr="00A20387">
        <w:rPr>
          <w:rFonts w:ascii="Arial" w:hAnsi="Arial" w:cs="Arial"/>
          <w:sz w:val="24"/>
          <w:szCs w:val="24"/>
        </w:rPr>
        <w:t xml:space="preserve"> and </w:t>
      </w:r>
      <w:r w:rsidR="00B958CC">
        <w:rPr>
          <w:rFonts w:ascii="Arial" w:hAnsi="Arial" w:cs="Arial"/>
          <w:sz w:val="24"/>
          <w:szCs w:val="24"/>
        </w:rPr>
        <w:t>70.1</w:t>
      </w:r>
      <w:r w:rsidRPr="00A20387">
        <w:rPr>
          <w:rFonts w:ascii="Arial" w:hAnsi="Arial" w:cs="Arial"/>
          <w:sz w:val="24"/>
          <w:szCs w:val="24"/>
        </w:rPr>
        <w:t xml:space="preserve"> per 100,000 respectively</w:t>
      </w:r>
      <w:r w:rsidR="00360F8D">
        <w:rPr>
          <w:rFonts w:ascii="Arial" w:hAnsi="Arial" w:cs="Arial"/>
          <w:sz w:val="24"/>
          <w:szCs w:val="24"/>
        </w:rPr>
        <w:t xml:space="preserve">. </w:t>
      </w:r>
      <w:r w:rsidR="00745316">
        <w:rPr>
          <w:rFonts w:ascii="Arial" w:hAnsi="Arial" w:cs="Arial"/>
          <w:sz w:val="24"/>
          <w:szCs w:val="24"/>
        </w:rPr>
        <w:t>MA</w:t>
      </w:r>
      <w:r w:rsidR="00F0532C">
        <w:rPr>
          <w:rFonts w:ascii="Arial" w:hAnsi="Arial" w:cs="Arial"/>
          <w:sz w:val="24"/>
          <w:szCs w:val="24"/>
        </w:rPr>
        <w:t xml:space="preserve"> r</w:t>
      </w:r>
      <w:r w:rsidR="00360F8D">
        <w:rPr>
          <w:rFonts w:ascii="Arial" w:hAnsi="Arial" w:cs="Arial"/>
          <w:sz w:val="24"/>
          <w:szCs w:val="24"/>
        </w:rPr>
        <w:t xml:space="preserve">ates increased in </w:t>
      </w:r>
      <w:r w:rsidR="0039346C">
        <w:rPr>
          <w:rFonts w:ascii="Arial" w:hAnsi="Arial" w:cs="Arial"/>
          <w:sz w:val="24"/>
          <w:szCs w:val="24"/>
        </w:rPr>
        <w:t>Indigenous</w:t>
      </w:r>
      <w:r w:rsidR="00360F8D">
        <w:rPr>
          <w:rFonts w:ascii="Arial" w:hAnsi="Arial" w:cs="Arial"/>
          <w:sz w:val="24"/>
          <w:szCs w:val="24"/>
        </w:rPr>
        <w:t xml:space="preserve"> (~15%) and non-</w:t>
      </w:r>
      <w:r w:rsidR="00CA3F16" w:rsidRPr="00A20387">
        <w:rPr>
          <w:rFonts w:ascii="Arial" w:hAnsi="Arial" w:cs="Arial"/>
          <w:sz w:val="24"/>
          <w:szCs w:val="24"/>
        </w:rPr>
        <w:t xml:space="preserve">Indigenous </w:t>
      </w:r>
      <w:r w:rsidR="00CA3F16">
        <w:rPr>
          <w:rFonts w:ascii="Arial" w:hAnsi="Arial" w:cs="Arial"/>
          <w:sz w:val="24"/>
          <w:szCs w:val="24"/>
        </w:rPr>
        <w:t>patients</w:t>
      </w:r>
      <w:r w:rsidR="00360F8D">
        <w:rPr>
          <w:rFonts w:ascii="Arial" w:hAnsi="Arial" w:cs="Arial"/>
          <w:sz w:val="24"/>
          <w:szCs w:val="24"/>
        </w:rPr>
        <w:t xml:space="preserve"> (~50%) </w:t>
      </w:r>
      <w:r w:rsidR="00F0532C">
        <w:rPr>
          <w:rFonts w:ascii="Arial" w:hAnsi="Arial" w:cs="Arial"/>
          <w:sz w:val="24"/>
          <w:szCs w:val="24"/>
        </w:rPr>
        <w:t xml:space="preserve">with diabetes </w:t>
      </w:r>
      <w:r w:rsidR="00360F8D">
        <w:rPr>
          <w:rFonts w:ascii="Arial" w:hAnsi="Arial" w:cs="Arial"/>
          <w:sz w:val="24"/>
          <w:szCs w:val="24"/>
        </w:rPr>
        <w:t>between 2000-2007 and 2008-2015 (</w:t>
      </w:r>
      <w:r w:rsidR="00360F8D">
        <w:rPr>
          <w:rFonts w:ascii="Arial" w:hAnsi="Arial" w:cs="Arial"/>
          <w:i/>
          <w:sz w:val="24"/>
          <w:szCs w:val="24"/>
        </w:rPr>
        <w:t>p</w:t>
      </w:r>
      <w:r w:rsidR="00360F8D" w:rsidRPr="00360F8D">
        <w:rPr>
          <w:rFonts w:ascii="Arial" w:hAnsi="Arial" w:cs="Arial"/>
          <w:sz w:val="24"/>
          <w:szCs w:val="24"/>
        </w:rPr>
        <w:t>=0.505</w:t>
      </w:r>
      <w:r w:rsidR="00347088">
        <w:rPr>
          <w:rFonts w:ascii="Arial" w:hAnsi="Arial" w:cs="Arial"/>
          <w:sz w:val="24"/>
          <w:szCs w:val="24"/>
        </w:rPr>
        <w:t xml:space="preserve">). </w:t>
      </w:r>
      <w:r w:rsidR="00CA3F16" w:rsidRPr="00A20387">
        <w:rPr>
          <w:rFonts w:ascii="Arial" w:hAnsi="Arial" w:cs="Arial"/>
          <w:sz w:val="24"/>
          <w:szCs w:val="24"/>
        </w:rPr>
        <w:t xml:space="preserve">Indigenous </w:t>
      </w:r>
      <w:r w:rsidR="00CA3F16">
        <w:rPr>
          <w:rFonts w:ascii="Arial" w:hAnsi="Arial" w:cs="Arial"/>
          <w:sz w:val="24"/>
          <w:szCs w:val="24"/>
        </w:rPr>
        <w:t>patients</w:t>
      </w:r>
      <w:r w:rsidRPr="00A20387">
        <w:rPr>
          <w:rFonts w:ascii="Arial" w:hAnsi="Arial" w:cs="Arial"/>
          <w:sz w:val="24"/>
        </w:rPr>
        <w:t xml:space="preserve"> were at a ~2-fold greater risk of all-cause mortality (</w:t>
      </w:r>
      <w:r w:rsidRPr="00A20387">
        <w:rPr>
          <w:rFonts w:ascii="Arial" w:hAnsi="Arial" w:cs="Arial"/>
          <w:i/>
          <w:sz w:val="24"/>
        </w:rPr>
        <w:t>p</w:t>
      </w:r>
      <w:r w:rsidRPr="00A20387">
        <w:rPr>
          <w:rFonts w:ascii="Arial" w:hAnsi="Arial" w:cs="Arial"/>
          <w:sz w:val="24"/>
        </w:rPr>
        <w:t xml:space="preserve">=0.027) compared to </w:t>
      </w:r>
      <w:r w:rsidR="00B958CC">
        <w:rPr>
          <w:rFonts w:ascii="Arial" w:hAnsi="Arial" w:cs="Arial"/>
          <w:sz w:val="24"/>
        </w:rPr>
        <w:t>non-</w:t>
      </w:r>
      <w:r w:rsidR="00CA3F16" w:rsidRPr="00A20387">
        <w:rPr>
          <w:rFonts w:ascii="Arial" w:hAnsi="Arial" w:cs="Arial"/>
          <w:sz w:val="24"/>
          <w:szCs w:val="24"/>
        </w:rPr>
        <w:t>Indigenous</w:t>
      </w:r>
      <w:r w:rsidR="00EC7E41">
        <w:rPr>
          <w:rFonts w:ascii="Arial" w:hAnsi="Arial" w:cs="Arial"/>
          <w:sz w:val="24"/>
          <w:szCs w:val="24"/>
        </w:rPr>
        <w:t xml:space="preserve"> patients</w:t>
      </w:r>
      <w:r w:rsidR="00146F6F">
        <w:rPr>
          <w:rFonts w:ascii="Arial" w:hAnsi="Arial" w:cs="Arial"/>
          <w:sz w:val="24"/>
        </w:rPr>
        <w:t>.</w:t>
      </w:r>
      <w:r w:rsidRPr="00A20387">
        <w:rPr>
          <w:rFonts w:ascii="Arial" w:hAnsi="Arial" w:cs="Arial"/>
          <w:sz w:val="24"/>
        </w:rPr>
        <w:t xml:space="preserve"> </w:t>
      </w:r>
      <w:r w:rsidR="00146F6F">
        <w:rPr>
          <w:rFonts w:ascii="Arial" w:hAnsi="Arial" w:cs="Arial"/>
          <w:sz w:val="24"/>
        </w:rPr>
        <w:t>T</w:t>
      </w:r>
      <w:r w:rsidRPr="00A20387">
        <w:rPr>
          <w:rFonts w:ascii="Arial" w:hAnsi="Arial" w:cs="Arial"/>
          <w:sz w:val="24"/>
        </w:rPr>
        <w:t xml:space="preserve">his association was lost </w:t>
      </w:r>
      <w:r w:rsidR="008A2DEB">
        <w:rPr>
          <w:rFonts w:ascii="Arial" w:hAnsi="Arial" w:cs="Arial"/>
          <w:sz w:val="24"/>
        </w:rPr>
        <w:t>in the multivari</w:t>
      </w:r>
      <w:r w:rsidR="00F0532C">
        <w:rPr>
          <w:rFonts w:ascii="Arial" w:hAnsi="Arial" w:cs="Arial"/>
          <w:sz w:val="24"/>
        </w:rPr>
        <w:t>a</w:t>
      </w:r>
      <w:r w:rsidR="00D1082A">
        <w:rPr>
          <w:rFonts w:ascii="Arial" w:hAnsi="Arial" w:cs="Arial"/>
          <w:sz w:val="24"/>
        </w:rPr>
        <w:t>te</w:t>
      </w:r>
      <w:r w:rsidR="008A2DEB">
        <w:rPr>
          <w:rFonts w:ascii="Arial" w:hAnsi="Arial" w:cs="Arial"/>
          <w:sz w:val="24"/>
        </w:rPr>
        <w:t xml:space="preserve"> analysis</w:t>
      </w:r>
      <w:r w:rsidR="004D40BC">
        <w:rPr>
          <w:rFonts w:ascii="Arial" w:hAnsi="Arial" w:cs="Arial"/>
          <w:sz w:val="24"/>
          <w:szCs w:val="24"/>
        </w:rPr>
        <w:t xml:space="preserve"> (HR 1.24</w:t>
      </w:r>
      <w:r w:rsidRPr="00A20387">
        <w:rPr>
          <w:rFonts w:ascii="Arial" w:hAnsi="Arial" w:cs="Arial"/>
          <w:sz w:val="24"/>
          <w:szCs w:val="24"/>
        </w:rPr>
        <w:t xml:space="preserve"> [0.</w:t>
      </w:r>
      <w:r w:rsidR="004D40BC">
        <w:rPr>
          <w:rFonts w:ascii="Arial" w:hAnsi="Arial" w:cs="Arial"/>
          <w:sz w:val="24"/>
          <w:szCs w:val="24"/>
        </w:rPr>
        <w:t>82</w:t>
      </w:r>
      <w:r w:rsidRPr="00A20387">
        <w:rPr>
          <w:rFonts w:ascii="Arial" w:hAnsi="Arial" w:cs="Arial"/>
          <w:sz w:val="24"/>
          <w:szCs w:val="24"/>
        </w:rPr>
        <w:t>-1.8</w:t>
      </w:r>
      <w:r w:rsidR="004D40BC">
        <w:rPr>
          <w:rFonts w:ascii="Arial" w:hAnsi="Arial" w:cs="Arial"/>
          <w:sz w:val="24"/>
          <w:szCs w:val="24"/>
        </w:rPr>
        <w:t>9</w:t>
      </w:r>
      <w:r w:rsidRPr="00A20387">
        <w:rPr>
          <w:rFonts w:ascii="Arial" w:hAnsi="Arial" w:cs="Arial"/>
          <w:sz w:val="24"/>
          <w:szCs w:val="24"/>
        </w:rPr>
        <w:t xml:space="preserve">], </w:t>
      </w:r>
      <w:r w:rsidRPr="00A20387">
        <w:rPr>
          <w:rFonts w:ascii="Arial" w:hAnsi="Arial" w:cs="Arial"/>
          <w:i/>
          <w:sz w:val="24"/>
          <w:szCs w:val="24"/>
        </w:rPr>
        <w:t>p</w:t>
      </w:r>
      <w:r w:rsidRPr="00A20387">
        <w:rPr>
          <w:rFonts w:ascii="Arial" w:hAnsi="Arial" w:cs="Arial"/>
          <w:sz w:val="24"/>
          <w:szCs w:val="24"/>
        </w:rPr>
        <w:t>=0.</w:t>
      </w:r>
      <w:r w:rsidR="004D40BC">
        <w:rPr>
          <w:rFonts w:ascii="Arial" w:hAnsi="Arial" w:cs="Arial"/>
          <w:sz w:val="24"/>
          <w:szCs w:val="24"/>
        </w:rPr>
        <w:t>314</w:t>
      </w:r>
      <w:r w:rsidRPr="00A20387">
        <w:rPr>
          <w:rFonts w:ascii="Arial" w:hAnsi="Arial" w:cs="Arial"/>
          <w:sz w:val="24"/>
          <w:szCs w:val="24"/>
        </w:rPr>
        <w:t>)</w:t>
      </w:r>
      <w:r w:rsidRPr="00A20387">
        <w:rPr>
          <w:rFonts w:ascii="Arial" w:hAnsi="Arial" w:cs="Arial"/>
          <w:sz w:val="24"/>
        </w:rPr>
        <w:t xml:space="preserve">.    </w:t>
      </w:r>
      <w:r w:rsidRPr="00A20387">
        <w:rPr>
          <w:rFonts w:ascii="Arial" w:hAnsi="Arial" w:cs="Arial"/>
          <w:sz w:val="24"/>
          <w:szCs w:val="24"/>
        </w:rPr>
        <w:t xml:space="preserve"> </w:t>
      </w:r>
    </w:p>
    <w:p w14:paraId="20C2F8AA" w14:textId="1C8B6AC9" w:rsidR="006C0710" w:rsidRDefault="004617A8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Conclusion: </w:t>
      </w:r>
      <w:r>
        <w:rPr>
          <w:rFonts w:ascii="Arial" w:hAnsi="Arial" w:cs="Arial"/>
          <w:sz w:val="24"/>
          <w:szCs w:val="24"/>
        </w:rPr>
        <w:t xml:space="preserve">The burden of </w:t>
      </w:r>
      <w:r w:rsidR="00745316">
        <w:rPr>
          <w:rFonts w:ascii="Arial" w:hAnsi="Arial" w:cs="Arial"/>
          <w:sz w:val="24"/>
          <w:szCs w:val="24"/>
        </w:rPr>
        <w:t>MA</w:t>
      </w:r>
      <w:r>
        <w:rPr>
          <w:rFonts w:ascii="Arial" w:hAnsi="Arial" w:cs="Arial"/>
          <w:sz w:val="24"/>
          <w:szCs w:val="24"/>
        </w:rPr>
        <w:t xml:space="preserve"> has increased in North Queensland and is greater in </w:t>
      </w:r>
      <w:r w:rsidR="00CA3F16" w:rsidRPr="00A20387">
        <w:rPr>
          <w:rFonts w:ascii="Arial" w:hAnsi="Arial" w:cs="Arial"/>
          <w:sz w:val="24"/>
          <w:szCs w:val="24"/>
        </w:rPr>
        <w:t>Indigenous Australians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40D1747" w14:textId="15528464" w:rsidR="006B0841" w:rsidRDefault="006B0841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9ADA2FB" w14:textId="355248EE" w:rsidR="006B0841" w:rsidRDefault="006B0841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0C4B2D2" w14:textId="050CEC66" w:rsidR="006B0841" w:rsidRDefault="006B0841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BD5AAD1" w14:textId="2F0702BF" w:rsidR="006B0841" w:rsidRDefault="006B0841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B0125AA" w14:textId="77777777" w:rsidR="006B0841" w:rsidRDefault="006B0841" w:rsidP="008A2DE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14:paraId="153C29B1" w14:textId="77777777" w:rsidR="002F14CB" w:rsidRPr="002F14CB" w:rsidRDefault="002F14CB" w:rsidP="002F14CB">
      <w:pPr>
        <w:spacing w:line="240" w:lineRule="auto"/>
        <w:jc w:val="both"/>
        <w:rPr>
          <w:rFonts w:ascii="Arial" w:eastAsia="Calibri" w:hAnsi="Arial" w:cs="Arial"/>
          <w:b/>
        </w:rPr>
      </w:pPr>
      <w:r w:rsidRPr="002F14CB">
        <w:rPr>
          <w:rFonts w:ascii="Arial" w:eastAsia="Calibri" w:hAnsi="Arial" w:cs="Arial"/>
          <w:b/>
        </w:rPr>
        <w:lastRenderedPageBreak/>
        <w:t>Past publications:</w:t>
      </w:r>
    </w:p>
    <w:p w14:paraId="40181ABB" w14:textId="77777777" w:rsidR="002F14CB" w:rsidRPr="002F14CB" w:rsidRDefault="002F14CB" w:rsidP="002F14CB">
      <w:pPr>
        <w:spacing w:line="240" w:lineRule="auto"/>
        <w:jc w:val="both"/>
        <w:rPr>
          <w:rFonts w:ascii="Arial" w:eastAsia="Calibri" w:hAnsi="Arial" w:cs="Arial"/>
        </w:rPr>
      </w:pPr>
      <w:r w:rsidRPr="002F14CB">
        <w:rPr>
          <w:rFonts w:ascii="Arial" w:eastAsia="Calibri" w:hAnsi="Arial" w:cs="Arial"/>
        </w:rPr>
        <w:t xml:space="preserve">Singh TP, Morris DR, Smith S, </w:t>
      </w:r>
      <w:proofErr w:type="spellStart"/>
      <w:r w:rsidRPr="002F14CB">
        <w:rPr>
          <w:rFonts w:ascii="Arial" w:eastAsia="Calibri" w:hAnsi="Arial" w:cs="Arial"/>
        </w:rPr>
        <w:t>Moxon</w:t>
      </w:r>
      <w:proofErr w:type="spellEnd"/>
      <w:r w:rsidRPr="002F14CB">
        <w:rPr>
          <w:rFonts w:ascii="Arial" w:eastAsia="Calibri" w:hAnsi="Arial" w:cs="Arial"/>
        </w:rPr>
        <w:t xml:space="preserve"> JV, </w:t>
      </w:r>
      <w:proofErr w:type="spellStart"/>
      <w:r w:rsidRPr="002F14CB">
        <w:rPr>
          <w:rFonts w:ascii="Arial" w:eastAsia="Calibri" w:hAnsi="Arial" w:cs="Arial"/>
        </w:rPr>
        <w:t>Golledge</w:t>
      </w:r>
      <w:proofErr w:type="spellEnd"/>
      <w:r w:rsidRPr="002F14CB">
        <w:rPr>
          <w:rFonts w:ascii="Arial" w:eastAsia="Calibri" w:hAnsi="Arial" w:cs="Arial"/>
        </w:rPr>
        <w:t xml:space="preserve"> J. Systematic Review and Meta-</w:t>
      </w:r>
      <w:r w:rsidRPr="002F14CB">
        <w:rPr>
          <w:rFonts w:ascii="Arial" w:eastAsia="Calibri" w:hAnsi="Arial" w:cs="Arial"/>
        </w:rPr>
        <w:cr/>
        <w:t xml:space="preserve">Analysis of the Association Between C-Reactive Protein and Major Cardiovascular Events in Patients with Peripheral Artery Disease. European Journal of Vascular and </w:t>
      </w:r>
      <w:proofErr w:type="spellStart"/>
      <w:r w:rsidRPr="002F14CB">
        <w:rPr>
          <w:rFonts w:ascii="Arial" w:eastAsia="Calibri" w:hAnsi="Arial" w:cs="Arial"/>
        </w:rPr>
        <w:t>Endovascular</w:t>
      </w:r>
      <w:proofErr w:type="spellEnd"/>
      <w:r w:rsidRPr="002F14CB">
        <w:rPr>
          <w:rFonts w:ascii="Arial" w:eastAsia="Calibri" w:hAnsi="Arial" w:cs="Arial"/>
        </w:rPr>
        <w:t xml:space="preserve"> Surgery. 2017;54(2):220-33.  </w:t>
      </w:r>
    </w:p>
    <w:p w14:paraId="77C650F2" w14:textId="77777777" w:rsidR="002F14CB" w:rsidRPr="002F14CB" w:rsidRDefault="002F14CB" w:rsidP="002F14CB">
      <w:pPr>
        <w:spacing w:line="240" w:lineRule="auto"/>
        <w:jc w:val="both"/>
        <w:rPr>
          <w:rFonts w:ascii="Arial" w:eastAsia="Calibri" w:hAnsi="Arial" w:cs="Arial"/>
        </w:rPr>
      </w:pPr>
      <w:r w:rsidRPr="002F14CB">
        <w:rPr>
          <w:rFonts w:ascii="Arial" w:eastAsia="Calibri" w:hAnsi="Arial" w:cs="Arial"/>
        </w:rPr>
        <w:t xml:space="preserve">Morris D, Singh T, </w:t>
      </w:r>
      <w:proofErr w:type="spellStart"/>
      <w:r w:rsidRPr="002F14CB">
        <w:rPr>
          <w:rFonts w:ascii="Arial" w:eastAsia="Calibri" w:hAnsi="Arial" w:cs="Arial"/>
        </w:rPr>
        <w:t>Moxon</w:t>
      </w:r>
      <w:proofErr w:type="spellEnd"/>
      <w:r w:rsidRPr="002F14CB">
        <w:rPr>
          <w:rFonts w:ascii="Arial" w:eastAsia="Calibri" w:hAnsi="Arial" w:cs="Arial"/>
        </w:rPr>
        <w:t xml:space="preserve"> J, Smith A, Stewart F, Jones R, et al. Assessment and validation of a novel angiographic scoring system for peripheral artery disease. British Journal of Surgery. 2017;104(5):544-54. </w:t>
      </w:r>
    </w:p>
    <w:p w14:paraId="0E1C4C07" w14:textId="77777777" w:rsidR="002F14CB" w:rsidRPr="002F14CB" w:rsidRDefault="002F14CB" w:rsidP="002F14CB">
      <w:pPr>
        <w:spacing w:line="240" w:lineRule="auto"/>
        <w:jc w:val="both"/>
        <w:rPr>
          <w:rFonts w:ascii="Arial" w:eastAsia="Calibri" w:hAnsi="Arial" w:cs="Arial"/>
        </w:rPr>
      </w:pPr>
      <w:r w:rsidRPr="002F14CB">
        <w:rPr>
          <w:rFonts w:ascii="Arial" w:eastAsia="Calibri" w:hAnsi="Arial" w:cs="Arial"/>
        </w:rPr>
        <w:t xml:space="preserve">Singh TP, </w:t>
      </w:r>
      <w:proofErr w:type="spellStart"/>
      <w:r w:rsidRPr="002F14CB">
        <w:rPr>
          <w:rFonts w:ascii="Arial" w:eastAsia="Calibri" w:hAnsi="Arial" w:cs="Arial"/>
        </w:rPr>
        <w:t>Vangaveti</w:t>
      </w:r>
      <w:proofErr w:type="spellEnd"/>
      <w:r w:rsidRPr="002F14CB">
        <w:rPr>
          <w:rFonts w:ascii="Arial" w:eastAsia="Calibri" w:hAnsi="Arial" w:cs="Arial"/>
        </w:rPr>
        <w:t xml:space="preserve"> VN, Kennedy RL, </w:t>
      </w:r>
      <w:proofErr w:type="spellStart"/>
      <w:r w:rsidRPr="002F14CB">
        <w:rPr>
          <w:rFonts w:ascii="Arial" w:eastAsia="Calibri" w:hAnsi="Arial" w:cs="Arial"/>
        </w:rPr>
        <w:t>Malabu</w:t>
      </w:r>
      <w:proofErr w:type="spellEnd"/>
      <w:r w:rsidRPr="002F14CB">
        <w:rPr>
          <w:rFonts w:ascii="Arial" w:eastAsia="Calibri" w:hAnsi="Arial" w:cs="Arial"/>
        </w:rPr>
        <w:t xml:space="preserve"> UH. Role of </w:t>
      </w:r>
      <w:proofErr w:type="spellStart"/>
      <w:r w:rsidRPr="002F14CB">
        <w:rPr>
          <w:rFonts w:ascii="Arial" w:eastAsia="Calibri" w:hAnsi="Arial" w:cs="Arial"/>
        </w:rPr>
        <w:t>telehealth</w:t>
      </w:r>
      <w:proofErr w:type="spellEnd"/>
      <w:r w:rsidRPr="002F14CB">
        <w:rPr>
          <w:rFonts w:ascii="Arial" w:eastAsia="Calibri" w:hAnsi="Arial" w:cs="Arial"/>
        </w:rPr>
        <w:t xml:space="preserve"> in diabetic foot ulcer management–A systematic review. Australian Journal of Rural Health. 2016;24(4):224-9. </w:t>
      </w:r>
    </w:p>
    <w:p w14:paraId="6E9D629C" w14:textId="77777777" w:rsidR="002F14CB" w:rsidRPr="002F14CB" w:rsidRDefault="002F14CB" w:rsidP="002F14CB">
      <w:pPr>
        <w:spacing w:line="240" w:lineRule="auto"/>
        <w:jc w:val="both"/>
        <w:rPr>
          <w:rFonts w:ascii="Arial" w:eastAsia="Calibri" w:hAnsi="Arial" w:cs="Arial"/>
        </w:rPr>
      </w:pPr>
      <w:proofErr w:type="spellStart"/>
      <w:r w:rsidRPr="002F14CB">
        <w:rPr>
          <w:rFonts w:ascii="Arial" w:eastAsia="Calibri" w:hAnsi="Arial" w:cs="Arial"/>
        </w:rPr>
        <w:t>Nair</w:t>
      </w:r>
      <w:proofErr w:type="spellEnd"/>
      <w:r w:rsidRPr="002F14CB">
        <w:rPr>
          <w:rFonts w:ascii="Arial" w:eastAsia="Calibri" w:hAnsi="Arial" w:cs="Arial"/>
        </w:rPr>
        <w:t xml:space="preserve"> JJ, Singh TP. </w:t>
      </w:r>
      <w:proofErr w:type="spellStart"/>
      <w:r w:rsidRPr="002F14CB">
        <w:rPr>
          <w:rFonts w:ascii="Arial" w:eastAsia="Calibri" w:hAnsi="Arial" w:cs="Arial"/>
        </w:rPr>
        <w:t>Sjogren’s</w:t>
      </w:r>
      <w:proofErr w:type="spellEnd"/>
      <w:r w:rsidRPr="002F14CB">
        <w:rPr>
          <w:rFonts w:ascii="Arial" w:eastAsia="Calibri" w:hAnsi="Arial" w:cs="Arial"/>
        </w:rPr>
        <w:t xml:space="preserve"> syndrome: Review of the aetiology, Pathophysiology &amp; </w:t>
      </w:r>
      <w:r w:rsidRPr="002F14CB">
        <w:rPr>
          <w:rFonts w:ascii="Arial" w:eastAsia="Calibri" w:hAnsi="Arial" w:cs="Arial"/>
        </w:rPr>
        <w:cr/>
        <w:t>Potential therapeutic interventions. Journal of Clinical and Experimental Dentistry. 2017;9(4):e584-e9.</w:t>
      </w:r>
    </w:p>
    <w:p w14:paraId="5DC94E08" w14:textId="461CA598" w:rsidR="002F14CB" w:rsidRPr="002F14CB" w:rsidRDefault="002F14CB" w:rsidP="006B0841">
      <w:pPr>
        <w:spacing w:line="240" w:lineRule="auto"/>
        <w:jc w:val="both"/>
        <w:rPr>
          <w:rFonts w:ascii="Arial" w:eastAsia="Calibri" w:hAnsi="Arial" w:cs="Arial"/>
        </w:rPr>
      </w:pPr>
      <w:r w:rsidRPr="002F14CB">
        <w:rPr>
          <w:rFonts w:ascii="Arial" w:eastAsia="Calibri" w:hAnsi="Arial" w:cs="Arial"/>
        </w:rPr>
        <w:t xml:space="preserve">Singh TP, </w:t>
      </w:r>
      <w:proofErr w:type="spellStart"/>
      <w:r w:rsidRPr="002F14CB">
        <w:rPr>
          <w:rFonts w:ascii="Arial" w:eastAsia="Calibri" w:hAnsi="Arial" w:cs="Arial"/>
        </w:rPr>
        <w:t>Vangaveti</w:t>
      </w:r>
      <w:proofErr w:type="spellEnd"/>
      <w:r w:rsidRPr="002F14CB">
        <w:rPr>
          <w:rFonts w:ascii="Arial" w:eastAsia="Calibri" w:hAnsi="Arial" w:cs="Arial"/>
        </w:rPr>
        <w:t xml:space="preserve"> VN, </w:t>
      </w:r>
      <w:proofErr w:type="spellStart"/>
      <w:r w:rsidRPr="002F14CB">
        <w:rPr>
          <w:rFonts w:ascii="Arial" w:eastAsia="Calibri" w:hAnsi="Arial" w:cs="Arial"/>
        </w:rPr>
        <w:t>Malabu</w:t>
      </w:r>
      <w:proofErr w:type="spellEnd"/>
      <w:r w:rsidRPr="002F14CB">
        <w:rPr>
          <w:rFonts w:ascii="Arial" w:eastAsia="Calibri" w:hAnsi="Arial" w:cs="Arial"/>
        </w:rPr>
        <w:t xml:space="preserve"> UH. </w:t>
      </w:r>
      <w:proofErr w:type="spellStart"/>
      <w:r w:rsidRPr="002F14CB">
        <w:rPr>
          <w:rFonts w:ascii="Arial" w:eastAsia="Calibri" w:hAnsi="Arial" w:cs="Arial"/>
        </w:rPr>
        <w:t>Dipeptidyl</w:t>
      </w:r>
      <w:proofErr w:type="spellEnd"/>
      <w:r w:rsidRPr="002F14CB">
        <w:rPr>
          <w:rFonts w:ascii="Arial" w:eastAsia="Calibri" w:hAnsi="Arial" w:cs="Arial"/>
        </w:rPr>
        <w:t xml:space="preserve"> peptidase-4 inhibitors and their potential role in the management of atherosclerosis—a review. Diabetes &amp; Metabolic Syndrome: Clinical Research &amp; Reviews. 2015;9(4):223-9. [Impact factor: 0.8; Citations: 7]</w:t>
      </w:r>
    </w:p>
    <w:p w14:paraId="056DE946" w14:textId="7E36EF68" w:rsidR="00871EC1" w:rsidRPr="006B0841" w:rsidRDefault="002F14CB" w:rsidP="006B0841">
      <w:pPr>
        <w:spacing w:after="0" w:line="240" w:lineRule="auto"/>
        <w:rPr>
          <w:rFonts w:ascii="Arial" w:eastAsia="Times New Roman" w:hAnsi="Arial" w:cs="Arial"/>
          <w:lang w:val="en-GB"/>
        </w:rPr>
      </w:pPr>
      <w:r w:rsidRPr="002F14CB">
        <w:rPr>
          <w:rFonts w:ascii="Arial" w:eastAsia="Times New Roman" w:hAnsi="Arial" w:cs="Arial"/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7AF1D110" wp14:editId="29EE3BDD">
            <wp:simplePos x="0" y="0"/>
            <wp:positionH relativeFrom="column">
              <wp:posOffset>0</wp:posOffset>
            </wp:positionH>
            <wp:positionV relativeFrom="paragraph">
              <wp:posOffset>159385</wp:posOffset>
            </wp:positionV>
            <wp:extent cx="1778000" cy="1778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343B8287" w14:textId="121B5B9B" w:rsidR="008D1DCE" w:rsidRPr="008D1DCE" w:rsidRDefault="008D1DCE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CV: </w:t>
      </w:r>
      <w:r>
        <w:rPr>
          <w:rFonts w:ascii="Arial" w:hAnsi="Arial" w:cs="Arial"/>
        </w:rPr>
        <w:t>Tejas P Singh (MBBS, MPH) is a Resident Medical Officer at the Vascular Surgery Department of the Townsville Hospital and</w:t>
      </w:r>
      <w:r w:rsidR="00897912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</w:t>
      </w:r>
      <w:r w:rsidR="0074074E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unior </w:t>
      </w:r>
      <w:r w:rsidR="0074074E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esearch </w:t>
      </w:r>
      <w:r w:rsidR="0074074E">
        <w:rPr>
          <w:rFonts w:ascii="Arial" w:hAnsi="Arial" w:cs="Arial"/>
        </w:rPr>
        <w:t>F</w:t>
      </w:r>
      <w:r>
        <w:rPr>
          <w:rFonts w:ascii="Arial" w:hAnsi="Arial" w:cs="Arial"/>
        </w:rPr>
        <w:t xml:space="preserve">ellow at the </w:t>
      </w:r>
      <w:r w:rsidRPr="008D1DCE">
        <w:rPr>
          <w:rFonts w:ascii="Arial" w:hAnsi="Arial" w:cs="Arial"/>
        </w:rPr>
        <w:t>Queensland Centre for Peripheral Vascular Disease</w:t>
      </w:r>
      <w:r>
        <w:rPr>
          <w:rFonts w:ascii="Arial" w:hAnsi="Arial" w:cs="Arial"/>
        </w:rPr>
        <w:t xml:space="preserve">.  </w:t>
      </w:r>
    </w:p>
    <w:sectPr w:rsidR="008D1DCE" w:rsidRPr="008D1DC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BA5"/>
    <w:rsid w:val="000459F2"/>
    <w:rsid w:val="00061A53"/>
    <w:rsid w:val="000A0D0B"/>
    <w:rsid w:val="00113510"/>
    <w:rsid w:val="0014030B"/>
    <w:rsid w:val="00146F6F"/>
    <w:rsid w:val="0020444B"/>
    <w:rsid w:val="00264E2A"/>
    <w:rsid w:val="002F14CB"/>
    <w:rsid w:val="002F3F0A"/>
    <w:rsid w:val="00347088"/>
    <w:rsid w:val="00360F8D"/>
    <w:rsid w:val="00376BA5"/>
    <w:rsid w:val="00380DD6"/>
    <w:rsid w:val="0039346C"/>
    <w:rsid w:val="00397274"/>
    <w:rsid w:val="0045268A"/>
    <w:rsid w:val="004617A8"/>
    <w:rsid w:val="004A0FC1"/>
    <w:rsid w:val="004D1665"/>
    <w:rsid w:val="004D40BC"/>
    <w:rsid w:val="004E00F8"/>
    <w:rsid w:val="00514252"/>
    <w:rsid w:val="00545534"/>
    <w:rsid w:val="005C0031"/>
    <w:rsid w:val="005E5111"/>
    <w:rsid w:val="006B0841"/>
    <w:rsid w:val="006C0710"/>
    <w:rsid w:val="006D690A"/>
    <w:rsid w:val="0074074E"/>
    <w:rsid w:val="00745316"/>
    <w:rsid w:val="00747B59"/>
    <w:rsid w:val="007F6E97"/>
    <w:rsid w:val="00871EC1"/>
    <w:rsid w:val="00874B5E"/>
    <w:rsid w:val="00897912"/>
    <w:rsid w:val="008A2DEB"/>
    <w:rsid w:val="008D1DCE"/>
    <w:rsid w:val="00925D30"/>
    <w:rsid w:val="009E4C2C"/>
    <w:rsid w:val="00A20387"/>
    <w:rsid w:val="00A6109B"/>
    <w:rsid w:val="00A908E0"/>
    <w:rsid w:val="00A9583B"/>
    <w:rsid w:val="00AD2EFB"/>
    <w:rsid w:val="00B958CC"/>
    <w:rsid w:val="00B96739"/>
    <w:rsid w:val="00BA6778"/>
    <w:rsid w:val="00BF71AE"/>
    <w:rsid w:val="00C37A46"/>
    <w:rsid w:val="00C40899"/>
    <w:rsid w:val="00CA3F16"/>
    <w:rsid w:val="00CC0B42"/>
    <w:rsid w:val="00D1082A"/>
    <w:rsid w:val="00D37A7F"/>
    <w:rsid w:val="00D93154"/>
    <w:rsid w:val="00DB3C83"/>
    <w:rsid w:val="00DF130F"/>
    <w:rsid w:val="00E51C54"/>
    <w:rsid w:val="00E9000C"/>
    <w:rsid w:val="00EC21CD"/>
    <w:rsid w:val="00EC7E41"/>
    <w:rsid w:val="00EE74EE"/>
    <w:rsid w:val="00F0532C"/>
    <w:rsid w:val="00F7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331F9"/>
  <w15:chartTrackingRefBased/>
  <w15:docId w15:val="{CE7E84E1-C2DD-4BF1-B4AE-BEF03D1F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0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C07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07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."/>
    <w:basedOn w:val="DefaultParagraphFont"/>
    <w:link w:val="CommentText"/>
    <w:uiPriority w:val="99"/>
    <w:rsid w:val="006C071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0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."/>
    <w:basedOn w:val="DefaultParagraphFont"/>
    <w:link w:val="BalloonText"/>
    <w:uiPriority w:val="99"/>
    <w:semiHidden/>
    <w:rsid w:val="006C071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C07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710"/>
    <w:rPr>
      <w:b/>
      <w:bCs/>
    </w:rPr>
  </w:style>
  <w:style w:type="character" w:customStyle="1" w:styleId="CommentSubjectChar">
    <w:name w:val="Comment Subject Char."/>
    <w:basedOn w:val="CommentTextChar"/>
    <w:link w:val="CommentSubject"/>
    <w:uiPriority w:val="99"/>
    <w:semiHidden/>
    <w:rsid w:val="006C07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6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James Cook University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Tejas Singh</dc:creator>
  <cp:keywords/>
  <dc:description/>
  <cp:lastModifiedBy>Tejas Singh</cp:lastModifiedBy>
  <cp:revision>2</cp:revision>
  <dcterms:created xsi:type="dcterms:W3CDTF">2018-03-06T11:26:00Z</dcterms:created>
  <dcterms:modified xsi:type="dcterms:W3CDTF">2018-03-06T11:26:00Z</dcterms:modified>
</cp:coreProperties>
</file>