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48A9" w:rsidRDefault="007948A9" w:rsidP="00877255">
      <w:pPr>
        <w:rPr>
          <w:rFonts w:ascii="Arial" w:hAnsi="Arial" w:cs="Arial"/>
          <w:sz w:val="22"/>
          <w:szCs w:val="22"/>
        </w:rPr>
      </w:pPr>
    </w:p>
    <w:p w:rsidR="007948A9" w:rsidRPr="00215B9C" w:rsidRDefault="007948A9" w:rsidP="007948A9">
      <w:pPr>
        <w:rPr>
          <w:rFonts w:ascii="Arial" w:hAnsi="Arial" w:cs="Arial"/>
          <w:b/>
          <w:sz w:val="22"/>
          <w:szCs w:val="22"/>
        </w:rPr>
      </w:pPr>
      <w:r w:rsidRPr="00215B9C">
        <w:rPr>
          <w:rFonts w:ascii="Arial" w:hAnsi="Arial" w:cs="Arial"/>
          <w:b/>
          <w:sz w:val="22"/>
          <w:szCs w:val="22"/>
        </w:rPr>
        <w:t>Comparison of presenting characteristics and cardiovascular outcome between Indigenous and non-Indigenous patients with peripheral artery disease</w:t>
      </w:r>
      <w:r w:rsidRPr="00215B9C">
        <w:rPr>
          <w:rFonts w:ascii="Arial" w:hAnsi="Arial" w:cs="Arial"/>
          <w:b/>
          <w:sz w:val="22"/>
          <w:szCs w:val="22"/>
          <w:highlight w:val="lightGray"/>
        </w:rPr>
        <w:t>.</w:t>
      </w:r>
    </w:p>
    <w:p w:rsidR="007948A9" w:rsidRPr="00215B9C" w:rsidRDefault="007948A9" w:rsidP="007948A9">
      <w:pPr>
        <w:pStyle w:val="NormalWeb"/>
        <w:rPr>
          <w:rFonts w:ascii="Arial" w:hAnsi="Arial" w:cs="Arial"/>
          <w:sz w:val="22"/>
          <w:szCs w:val="22"/>
        </w:rPr>
      </w:pPr>
      <w:r w:rsidRPr="00215B9C">
        <w:rPr>
          <w:rFonts w:ascii="Arial" w:hAnsi="Arial" w:cs="Arial"/>
          <w:b/>
          <w:sz w:val="22"/>
          <w:szCs w:val="22"/>
        </w:rPr>
        <w:t>Authors:</w:t>
      </w:r>
      <w:r w:rsidRPr="00215B9C">
        <w:rPr>
          <w:rFonts w:ascii="Arial" w:hAnsi="Arial" w:cs="Arial"/>
          <w:sz w:val="22"/>
          <w:szCs w:val="22"/>
        </w:rPr>
        <w:t xml:space="preserve"> </w:t>
      </w:r>
      <w:r w:rsidRPr="007948A9">
        <w:rPr>
          <w:rFonts w:ascii="Arial" w:hAnsi="Arial" w:cs="Arial"/>
          <w:sz w:val="22"/>
          <w:szCs w:val="22"/>
          <w:u w:val="single"/>
        </w:rPr>
        <w:t>Tejas P. Singh</w:t>
      </w:r>
      <w:r w:rsidRPr="007948A9">
        <w:rPr>
          <w:rFonts w:ascii="Arial" w:hAnsi="Arial" w:cs="Arial"/>
          <w:sz w:val="22"/>
          <w:szCs w:val="22"/>
          <w:u w:val="single"/>
          <w:vertAlign w:val="superscript"/>
        </w:rPr>
        <w:t>†1,2,3</w:t>
      </w:r>
      <w:r w:rsidRPr="00215B9C">
        <w:rPr>
          <w:rFonts w:ascii="Arial" w:hAnsi="Arial" w:cs="Arial"/>
          <w:sz w:val="22"/>
          <w:szCs w:val="22"/>
        </w:rPr>
        <w:t>, Joseph V. Moxon</w:t>
      </w:r>
      <w:r w:rsidRPr="00215B9C">
        <w:rPr>
          <w:rFonts w:ascii="Arial" w:hAnsi="Arial" w:cs="Arial"/>
          <w:sz w:val="22"/>
          <w:szCs w:val="22"/>
          <w:vertAlign w:val="superscript"/>
        </w:rPr>
        <w:t>1</w:t>
      </w:r>
      <w:r w:rsidRPr="00215B9C">
        <w:rPr>
          <w:rFonts w:ascii="Arial" w:hAnsi="Arial" w:cs="Arial"/>
          <w:sz w:val="22"/>
          <w:szCs w:val="22"/>
        </w:rPr>
        <w:t>,</w:t>
      </w:r>
      <w:r w:rsidRPr="0080203B">
        <w:rPr>
          <w:rFonts w:eastAsia="Calibri"/>
          <w:lang w:eastAsia="en-US"/>
        </w:rPr>
        <w:t xml:space="preserve"> </w:t>
      </w:r>
      <w:r w:rsidRPr="00215B9C">
        <w:rPr>
          <w:rFonts w:ascii="Arial" w:hAnsi="Arial" w:cs="Arial"/>
          <w:sz w:val="22"/>
          <w:szCs w:val="22"/>
          <w:lang w:val="en-GB"/>
        </w:rPr>
        <w:t>Genevieve N. Healy</w:t>
      </w:r>
      <w:r>
        <w:rPr>
          <w:rFonts w:ascii="Arial" w:hAnsi="Arial" w:cs="Arial"/>
          <w:sz w:val="22"/>
          <w:szCs w:val="22"/>
          <w:vertAlign w:val="superscript"/>
          <w:lang w:val="en-GB"/>
        </w:rPr>
        <w:t>3</w:t>
      </w:r>
      <w:r w:rsidRPr="00215B9C">
        <w:rPr>
          <w:rFonts w:ascii="Arial" w:hAnsi="Arial" w:cs="Arial"/>
          <w:sz w:val="22"/>
          <w:szCs w:val="22"/>
        </w:rPr>
        <w:t xml:space="preserve"> Yvonne Cadet-James</w:t>
      </w:r>
      <w:r>
        <w:rPr>
          <w:rFonts w:ascii="Arial" w:hAnsi="Arial" w:cs="Arial"/>
          <w:sz w:val="22"/>
          <w:szCs w:val="22"/>
          <w:vertAlign w:val="superscript"/>
        </w:rPr>
        <w:t>4</w:t>
      </w:r>
      <w:r>
        <w:rPr>
          <w:rFonts w:ascii="Arial" w:hAnsi="Arial" w:cs="Arial"/>
          <w:sz w:val="22"/>
          <w:szCs w:val="22"/>
        </w:rPr>
        <w:t>,</w:t>
      </w:r>
      <w:r w:rsidRPr="00215B9C">
        <w:rPr>
          <w:rFonts w:ascii="Arial" w:hAnsi="Arial" w:cs="Arial"/>
          <w:sz w:val="22"/>
          <w:szCs w:val="22"/>
        </w:rPr>
        <w:t xml:space="preserve"> Jonathan Golledge</w:t>
      </w:r>
      <w:r w:rsidRPr="00215B9C">
        <w:rPr>
          <w:rFonts w:ascii="Arial" w:hAnsi="Arial" w:cs="Arial"/>
          <w:sz w:val="22"/>
          <w:szCs w:val="22"/>
          <w:vertAlign w:val="superscript"/>
        </w:rPr>
        <w:t>1,2</w:t>
      </w:r>
      <w:r w:rsidRPr="00215B9C">
        <w:rPr>
          <w:rFonts w:ascii="Arial" w:hAnsi="Arial" w:cs="Arial"/>
          <w:sz w:val="22"/>
          <w:szCs w:val="22"/>
        </w:rPr>
        <w:t xml:space="preserve">. </w:t>
      </w:r>
    </w:p>
    <w:p w:rsidR="007948A9" w:rsidRPr="00215B9C" w:rsidRDefault="007948A9" w:rsidP="007948A9">
      <w:pPr>
        <w:pStyle w:val="NormalWeb"/>
        <w:rPr>
          <w:rFonts w:ascii="Arial" w:hAnsi="Arial" w:cs="Arial"/>
          <w:sz w:val="22"/>
          <w:szCs w:val="22"/>
        </w:rPr>
      </w:pPr>
      <w:r w:rsidRPr="00215B9C">
        <w:rPr>
          <w:rFonts w:ascii="Arial" w:hAnsi="Arial" w:cs="Arial"/>
          <w:sz w:val="22"/>
          <w:szCs w:val="22"/>
          <w:vertAlign w:val="superscript"/>
        </w:rPr>
        <w:t>1</w:t>
      </w:r>
      <w:r w:rsidRPr="00215B9C">
        <w:rPr>
          <w:rFonts w:ascii="Arial" w:hAnsi="Arial" w:cs="Arial"/>
          <w:sz w:val="22"/>
          <w:szCs w:val="22"/>
        </w:rPr>
        <w:t xml:space="preserve">Queensland Research Centre for Peripheral Vascular Disease, College of Medicine and Dentistry, James Cook University, Townsville, Queensland, Australia. </w:t>
      </w:r>
    </w:p>
    <w:p w:rsidR="007948A9" w:rsidRDefault="007948A9" w:rsidP="007948A9">
      <w:pPr>
        <w:pStyle w:val="NormalWeb"/>
        <w:rPr>
          <w:rFonts w:ascii="Arial" w:hAnsi="Arial" w:cs="Arial"/>
          <w:sz w:val="22"/>
          <w:szCs w:val="22"/>
        </w:rPr>
      </w:pPr>
      <w:r w:rsidRPr="00215B9C">
        <w:rPr>
          <w:rFonts w:ascii="Arial" w:hAnsi="Arial" w:cs="Arial"/>
          <w:sz w:val="22"/>
          <w:szCs w:val="22"/>
          <w:vertAlign w:val="superscript"/>
        </w:rPr>
        <w:t>2</w:t>
      </w:r>
      <w:r w:rsidRPr="00215B9C">
        <w:rPr>
          <w:rFonts w:ascii="Arial" w:hAnsi="Arial" w:cs="Arial"/>
          <w:sz w:val="22"/>
          <w:szCs w:val="22"/>
        </w:rPr>
        <w:t xml:space="preserve">Department of Vascular and Endovascular Surgery, The Townsville Hospital, Townsville, Queensland, Australia. </w:t>
      </w:r>
    </w:p>
    <w:p w:rsidR="007948A9" w:rsidRPr="00215B9C" w:rsidRDefault="007948A9" w:rsidP="007948A9">
      <w:pPr>
        <w:pStyle w:val="NormalWeb"/>
        <w:rPr>
          <w:rFonts w:ascii="Arial" w:hAnsi="Arial" w:cs="Arial"/>
          <w:sz w:val="22"/>
          <w:szCs w:val="22"/>
        </w:rPr>
      </w:pPr>
      <w:r w:rsidRPr="00215B9C">
        <w:rPr>
          <w:rFonts w:ascii="Arial" w:hAnsi="Arial" w:cs="Arial"/>
          <w:sz w:val="22"/>
          <w:szCs w:val="22"/>
          <w:vertAlign w:val="superscript"/>
          <w:lang w:val="en-GB"/>
        </w:rPr>
        <w:t>3</w:t>
      </w:r>
      <w:r w:rsidRPr="00215B9C">
        <w:rPr>
          <w:rFonts w:ascii="Arial" w:hAnsi="Arial" w:cs="Arial"/>
          <w:sz w:val="22"/>
          <w:szCs w:val="22"/>
          <w:lang w:val="en-GB"/>
        </w:rPr>
        <w:t>The University of Queensland, School of Public Health, QLD, Australia.</w:t>
      </w:r>
    </w:p>
    <w:p w:rsidR="007948A9" w:rsidRPr="00215B9C" w:rsidRDefault="007948A9" w:rsidP="007948A9">
      <w:pPr>
        <w:pStyle w:val="NormalWeb"/>
        <w:rPr>
          <w:rFonts w:ascii="Arial" w:hAnsi="Arial" w:cs="Arial"/>
          <w:sz w:val="22"/>
          <w:szCs w:val="22"/>
        </w:rPr>
      </w:pPr>
      <w:r>
        <w:rPr>
          <w:rFonts w:ascii="Arial" w:hAnsi="Arial" w:cs="Arial"/>
          <w:sz w:val="22"/>
          <w:szCs w:val="22"/>
          <w:vertAlign w:val="superscript"/>
        </w:rPr>
        <w:t>4</w:t>
      </w:r>
      <w:r w:rsidRPr="00215B9C">
        <w:rPr>
          <w:rFonts w:ascii="Arial" w:hAnsi="Arial" w:cs="Arial"/>
          <w:sz w:val="22"/>
          <w:szCs w:val="22"/>
        </w:rPr>
        <w:t>Indigenous Centre, James Cook University, Townsville, Queensland, Australia.</w:t>
      </w:r>
    </w:p>
    <w:p w:rsidR="007948A9" w:rsidRDefault="007948A9" w:rsidP="007948A9">
      <w:pPr>
        <w:rPr>
          <w:rFonts w:ascii="Arial" w:hAnsi="Arial" w:cs="Arial"/>
          <w:sz w:val="22"/>
          <w:szCs w:val="22"/>
        </w:rPr>
      </w:pPr>
      <w:r w:rsidRPr="00215B9C">
        <w:rPr>
          <w:rFonts w:ascii="Arial" w:hAnsi="Arial" w:cs="Arial"/>
          <w:sz w:val="22"/>
          <w:szCs w:val="22"/>
          <w:vertAlign w:val="superscript"/>
        </w:rPr>
        <w:t>†</w:t>
      </w:r>
      <w:r w:rsidRPr="00215B9C">
        <w:rPr>
          <w:rFonts w:ascii="Arial" w:hAnsi="Arial" w:cs="Arial"/>
          <w:sz w:val="22"/>
          <w:szCs w:val="22"/>
        </w:rPr>
        <w:t>Presenting author.</w:t>
      </w:r>
    </w:p>
    <w:p w:rsidR="007948A9" w:rsidRDefault="007948A9" w:rsidP="007948A9">
      <w:pPr>
        <w:rPr>
          <w:rFonts w:ascii="Arial" w:hAnsi="Arial" w:cs="Arial"/>
          <w:sz w:val="22"/>
          <w:szCs w:val="22"/>
        </w:rPr>
      </w:pPr>
    </w:p>
    <w:p w:rsidR="007948A9" w:rsidRPr="00215B9C" w:rsidRDefault="00580A79" w:rsidP="007948A9">
      <w:pPr>
        <w:spacing w:after="160"/>
        <w:jc w:val="both"/>
        <w:rPr>
          <w:rFonts w:ascii="Arial" w:eastAsia="Calibri" w:hAnsi="Arial" w:cs="Arial"/>
          <w:sz w:val="22"/>
          <w:szCs w:val="22"/>
          <w:lang w:val="en-AU"/>
        </w:rPr>
      </w:pPr>
      <w:r>
        <w:rPr>
          <w:rFonts w:ascii="Arial" w:eastAsia="Calibri" w:hAnsi="Arial" w:cs="Arial"/>
          <w:b/>
          <w:sz w:val="22"/>
          <w:szCs w:val="22"/>
          <w:lang w:val="en-AU"/>
        </w:rPr>
        <w:t>Aim</w:t>
      </w:r>
      <w:r w:rsidR="007948A9" w:rsidRPr="00215B9C">
        <w:rPr>
          <w:rFonts w:ascii="Arial" w:eastAsia="Calibri" w:hAnsi="Arial" w:cs="Arial"/>
          <w:b/>
          <w:sz w:val="22"/>
          <w:szCs w:val="22"/>
          <w:lang w:val="en-AU"/>
        </w:rPr>
        <w:t>:</w:t>
      </w:r>
      <w:r w:rsidR="007948A9" w:rsidRPr="00215B9C">
        <w:rPr>
          <w:rFonts w:ascii="Arial" w:eastAsia="Calibri" w:hAnsi="Arial" w:cs="Arial"/>
          <w:sz w:val="22"/>
          <w:szCs w:val="22"/>
          <w:lang w:val="en-AU"/>
        </w:rPr>
        <w:t xml:space="preserve"> The risk factors for Peripheral Artery Disease (PAD) are more common in Indigenous than non-Indigenous Australians, however the presentation and outcome of PAD in Indigenous Australians has not been previously investigated. The aim of this prospective cohort study was to compare the presenting characteristics and clinical outcome of Indigenous and non-Indigenous Australians with PAD.</w:t>
      </w:r>
    </w:p>
    <w:p w:rsidR="007948A9" w:rsidRPr="00215B9C" w:rsidRDefault="007948A9" w:rsidP="007948A9">
      <w:pPr>
        <w:spacing w:after="160"/>
        <w:jc w:val="both"/>
        <w:rPr>
          <w:rFonts w:ascii="Arial" w:eastAsia="Calibri" w:hAnsi="Arial" w:cs="Arial"/>
          <w:sz w:val="22"/>
          <w:szCs w:val="22"/>
          <w:lang w:val="en-AU"/>
        </w:rPr>
      </w:pPr>
      <w:r w:rsidRPr="00215B9C">
        <w:rPr>
          <w:rFonts w:ascii="Arial" w:eastAsia="Calibri" w:hAnsi="Arial" w:cs="Arial"/>
          <w:b/>
          <w:sz w:val="22"/>
          <w:szCs w:val="22"/>
          <w:lang w:val="en-AU"/>
        </w:rPr>
        <w:t>Methods:</w:t>
      </w:r>
      <w:r w:rsidRPr="00215B9C">
        <w:rPr>
          <w:rFonts w:ascii="Arial" w:eastAsia="Calibri" w:hAnsi="Arial" w:cs="Arial"/>
          <w:sz w:val="22"/>
          <w:szCs w:val="22"/>
          <w:lang w:val="en-AU"/>
        </w:rPr>
        <w:t xml:space="preserve"> PAD patients were prospectively recruited since 2003 from an outpatient vascular clinic in Townsville, Australia. Presenting symptoms and risk factors in Indigenous and non-Indigenous patients were compared using Pearson’s χ2 test and Mann Whitney U test. Kaplan Meier survival analysis and Cox proportional hazard analysis compared the incidence of myocardial infarction (MI), stroke or death (major cardiovascular events) among Indigenous and non-Indigenous patients. </w:t>
      </w:r>
    </w:p>
    <w:p w:rsidR="007948A9" w:rsidRPr="00215B9C" w:rsidRDefault="007948A9" w:rsidP="007948A9">
      <w:pPr>
        <w:spacing w:after="160"/>
        <w:jc w:val="both"/>
        <w:rPr>
          <w:rFonts w:ascii="Arial" w:eastAsia="Calibri" w:hAnsi="Arial" w:cs="Arial"/>
          <w:b/>
          <w:sz w:val="22"/>
          <w:szCs w:val="22"/>
          <w:lang w:val="en-AU"/>
        </w:rPr>
      </w:pPr>
      <w:r w:rsidRPr="00215B9C">
        <w:rPr>
          <w:rFonts w:ascii="Arial" w:eastAsia="Calibri" w:hAnsi="Arial" w:cs="Arial"/>
          <w:b/>
          <w:sz w:val="22"/>
          <w:szCs w:val="22"/>
          <w:lang w:val="en-AU"/>
        </w:rPr>
        <w:t>Results:</w:t>
      </w:r>
      <w:r w:rsidRPr="00215B9C">
        <w:rPr>
          <w:rFonts w:ascii="Arial" w:eastAsia="Calibri" w:hAnsi="Arial" w:cs="Arial"/>
          <w:sz w:val="22"/>
          <w:szCs w:val="22"/>
          <w:lang w:val="en-AU"/>
        </w:rPr>
        <w:t xml:space="preserve"> 401 PAD patients were recruited, of which 16 were Indigenous and 385 were non-Indigenous Australians. Indigenous Australians were younger at entry (median age 63.3 [54.7-67.8] vs 69.6 [63.3-75.4]), more commonly current smokers (56.3% vs 31.4%), and more frequently had insulin-treated diabetes (18.8% vs 5.2%). During a median follow-up of 2.5 years, five and 45 combined events (MI, stroke or death) were recorded amongst Indigenous and non-Indigenous Australians, respectively. Indigenous Australians were at a 4-fold greater risk of major cardiovascular events (adjusted hazard ratio 4.03 [95% confidence intervals 1.17-13.87], </w:t>
      </w:r>
      <w:r w:rsidRPr="00215B9C">
        <w:rPr>
          <w:rFonts w:ascii="Arial" w:eastAsia="Calibri" w:hAnsi="Arial" w:cs="Arial"/>
          <w:i/>
          <w:sz w:val="22"/>
          <w:szCs w:val="22"/>
          <w:lang w:val="en-AU"/>
        </w:rPr>
        <w:t>p</w:t>
      </w:r>
      <w:r w:rsidRPr="00215B9C">
        <w:rPr>
          <w:rFonts w:ascii="Arial" w:eastAsia="Calibri" w:hAnsi="Arial" w:cs="Arial"/>
          <w:sz w:val="22"/>
          <w:szCs w:val="22"/>
          <w:lang w:val="en-AU"/>
        </w:rPr>
        <w:t xml:space="preserve">=0.027) compared to non-Indigenous Australians.    </w:t>
      </w:r>
    </w:p>
    <w:p w:rsidR="007948A9" w:rsidRDefault="007948A9" w:rsidP="007948A9">
      <w:pPr>
        <w:spacing w:after="160"/>
        <w:jc w:val="both"/>
        <w:rPr>
          <w:rFonts w:ascii="Arial" w:eastAsia="Calibri" w:hAnsi="Arial" w:cs="Arial"/>
          <w:sz w:val="22"/>
          <w:szCs w:val="22"/>
          <w:lang w:val="en-AU"/>
        </w:rPr>
      </w:pPr>
      <w:r w:rsidRPr="00215B9C">
        <w:rPr>
          <w:rFonts w:ascii="Arial" w:eastAsia="Calibri" w:hAnsi="Arial" w:cs="Arial"/>
          <w:b/>
          <w:sz w:val="22"/>
          <w:szCs w:val="22"/>
          <w:lang w:val="en-AU"/>
        </w:rPr>
        <w:t>Conclusions:</w:t>
      </w:r>
      <w:r w:rsidRPr="00215B9C">
        <w:rPr>
          <w:rFonts w:ascii="Arial" w:eastAsia="Calibri" w:hAnsi="Arial" w:cs="Arial"/>
          <w:sz w:val="22"/>
          <w:szCs w:val="22"/>
          <w:lang w:val="en-AU"/>
        </w:rPr>
        <w:t xml:space="preserve"> These findings suggest that Indigenous Australians with PAD present at a younger age, have higher rates of smoking and insulin-treated diabetes, and poorer clinical outcomes compare</w:t>
      </w:r>
      <w:r>
        <w:rPr>
          <w:rFonts w:ascii="Arial" w:eastAsia="Calibri" w:hAnsi="Arial" w:cs="Arial"/>
          <w:sz w:val="22"/>
          <w:szCs w:val="22"/>
          <w:lang w:val="en-AU"/>
        </w:rPr>
        <w:t xml:space="preserve">d to non-Indigenous Australians. </w:t>
      </w:r>
    </w:p>
    <w:p w:rsidR="00AF76B0" w:rsidRDefault="00AF76B0" w:rsidP="007948A9">
      <w:pPr>
        <w:spacing w:after="160"/>
        <w:jc w:val="both"/>
        <w:rPr>
          <w:rFonts w:ascii="Arial" w:eastAsia="Calibri" w:hAnsi="Arial" w:cs="Arial"/>
          <w:b/>
          <w:sz w:val="22"/>
          <w:szCs w:val="22"/>
          <w:lang w:val="en-AU"/>
        </w:rPr>
      </w:pPr>
      <w:bookmarkStart w:id="0" w:name="_GoBack"/>
      <w:r>
        <w:rPr>
          <w:rFonts w:ascii="Arial" w:eastAsia="Calibri" w:hAnsi="Arial" w:cs="Arial"/>
          <w:b/>
          <w:sz w:val="22"/>
          <w:szCs w:val="22"/>
          <w:lang w:val="en-AU"/>
        </w:rPr>
        <w:t>Past publications:</w:t>
      </w:r>
    </w:p>
    <w:p w:rsidR="00735554" w:rsidRPr="00114D54" w:rsidRDefault="00735554" w:rsidP="00735554">
      <w:pPr>
        <w:spacing w:after="160"/>
        <w:jc w:val="both"/>
        <w:rPr>
          <w:rFonts w:ascii="Arial" w:eastAsia="Calibri" w:hAnsi="Arial" w:cs="Arial"/>
          <w:sz w:val="22"/>
          <w:szCs w:val="22"/>
          <w:lang w:val="en-AU"/>
        </w:rPr>
      </w:pPr>
      <w:r w:rsidRPr="00114D54">
        <w:rPr>
          <w:rFonts w:ascii="Arial" w:eastAsia="Calibri" w:hAnsi="Arial" w:cs="Arial"/>
          <w:sz w:val="22"/>
          <w:szCs w:val="22"/>
          <w:lang w:val="en-AU"/>
        </w:rPr>
        <w:t>Singh TP, Morris DR, Smith S, Moxon JV, Golledge J. Systematic Review and Meta-</w:t>
      </w:r>
      <w:r w:rsidRPr="00114D54">
        <w:rPr>
          <w:rFonts w:ascii="Arial" w:eastAsia="Calibri" w:hAnsi="Arial" w:cs="Arial"/>
          <w:sz w:val="22"/>
          <w:szCs w:val="22"/>
          <w:lang w:val="en-AU"/>
        </w:rPr>
        <w:cr/>
        <w:t>Analysis of the Association Between C-Reactive Protein and</w:t>
      </w:r>
      <w:r w:rsidR="00114D54">
        <w:rPr>
          <w:rFonts w:ascii="Arial" w:eastAsia="Calibri" w:hAnsi="Arial" w:cs="Arial"/>
          <w:sz w:val="22"/>
          <w:szCs w:val="22"/>
          <w:lang w:val="en-AU"/>
        </w:rPr>
        <w:t xml:space="preserve"> Major Cardiovascular Events in </w:t>
      </w:r>
      <w:r w:rsidRPr="00114D54">
        <w:rPr>
          <w:rFonts w:ascii="Arial" w:eastAsia="Calibri" w:hAnsi="Arial" w:cs="Arial"/>
          <w:sz w:val="22"/>
          <w:szCs w:val="22"/>
          <w:lang w:val="en-AU"/>
        </w:rPr>
        <w:t>Patients with Peripheral Artery Disease. European Journal of Vascular and Endovascula</w:t>
      </w:r>
      <w:r w:rsidR="00114D54">
        <w:rPr>
          <w:rFonts w:ascii="Arial" w:eastAsia="Calibri" w:hAnsi="Arial" w:cs="Arial"/>
          <w:sz w:val="22"/>
          <w:szCs w:val="22"/>
          <w:lang w:val="en-AU"/>
        </w:rPr>
        <w:t xml:space="preserve">r </w:t>
      </w:r>
      <w:r w:rsidRPr="00114D54">
        <w:rPr>
          <w:rFonts w:ascii="Arial" w:eastAsia="Calibri" w:hAnsi="Arial" w:cs="Arial"/>
          <w:sz w:val="22"/>
          <w:szCs w:val="22"/>
          <w:lang w:val="en-AU"/>
        </w:rPr>
        <w:t xml:space="preserve">Surgery. 2017;54(2):220-33. </w:t>
      </w:r>
      <w:r w:rsidR="00114D54">
        <w:rPr>
          <w:rFonts w:ascii="Arial" w:eastAsia="Calibri" w:hAnsi="Arial" w:cs="Arial"/>
          <w:sz w:val="22"/>
          <w:szCs w:val="22"/>
          <w:lang w:val="en-AU"/>
        </w:rPr>
        <w:t xml:space="preserve"> </w:t>
      </w:r>
    </w:p>
    <w:p w:rsidR="00735554" w:rsidRPr="00114D54" w:rsidRDefault="00735554" w:rsidP="00735554">
      <w:pPr>
        <w:spacing w:after="160"/>
        <w:jc w:val="both"/>
        <w:rPr>
          <w:rFonts w:ascii="Arial" w:eastAsia="Calibri" w:hAnsi="Arial" w:cs="Arial"/>
          <w:sz w:val="22"/>
          <w:szCs w:val="22"/>
          <w:lang w:val="en-AU"/>
        </w:rPr>
      </w:pPr>
      <w:r w:rsidRPr="00114D54">
        <w:rPr>
          <w:rFonts w:ascii="Arial" w:eastAsia="Calibri" w:hAnsi="Arial" w:cs="Arial"/>
          <w:sz w:val="22"/>
          <w:szCs w:val="22"/>
          <w:lang w:val="en-AU"/>
        </w:rPr>
        <w:lastRenderedPageBreak/>
        <w:t>Morris D, Singh T, Moxon J, Smith A, Stewart F, Jones R, et</w:t>
      </w:r>
      <w:r w:rsidR="00114D54">
        <w:rPr>
          <w:rFonts w:ascii="Arial" w:eastAsia="Calibri" w:hAnsi="Arial" w:cs="Arial"/>
          <w:sz w:val="22"/>
          <w:szCs w:val="22"/>
          <w:lang w:val="en-AU"/>
        </w:rPr>
        <w:t xml:space="preserve"> al. Assessment and validation </w:t>
      </w:r>
      <w:r w:rsidRPr="00114D54">
        <w:rPr>
          <w:rFonts w:ascii="Arial" w:eastAsia="Calibri" w:hAnsi="Arial" w:cs="Arial"/>
          <w:sz w:val="22"/>
          <w:szCs w:val="22"/>
          <w:lang w:val="en-AU"/>
        </w:rPr>
        <w:t>of a novel angiographic scoring system for peripheral arte</w:t>
      </w:r>
      <w:r w:rsidR="00114D54">
        <w:rPr>
          <w:rFonts w:ascii="Arial" w:eastAsia="Calibri" w:hAnsi="Arial" w:cs="Arial"/>
          <w:sz w:val="22"/>
          <w:szCs w:val="22"/>
          <w:lang w:val="en-AU"/>
        </w:rPr>
        <w:t xml:space="preserve">ry disease. British Journal of </w:t>
      </w:r>
      <w:r w:rsidRPr="00114D54">
        <w:rPr>
          <w:rFonts w:ascii="Arial" w:eastAsia="Calibri" w:hAnsi="Arial" w:cs="Arial"/>
          <w:sz w:val="22"/>
          <w:szCs w:val="22"/>
          <w:lang w:val="en-AU"/>
        </w:rPr>
        <w:t>Surgery. 2017;104(5)</w:t>
      </w:r>
      <w:r w:rsidR="00114D54">
        <w:rPr>
          <w:rFonts w:ascii="Arial" w:eastAsia="Calibri" w:hAnsi="Arial" w:cs="Arial"/>
          <w:sz w:val="22"/>
          <w:szCs w:val="22"/>
          <w:lang w:val="en-AU"/>
        </w:rPr>
        <w:t xml:space="preserve">:544-54. </w:t>
      </w:r>
    </w:p>
    <w:p w:rsidR="00AF76B0" w:rsidRDefault="00735554" w:rsidP="007948A9">
      <w:pPr>
        <w:spacing w:after="160"/>
        <w:jc w:val="both"/>
        <w:rPr>
          <w:rFonts w:ascii="Arial" w:eastAsia="Calibri" w:hAnsi="Arial" w:cs="Arial"/>
          <w:sz w:val="22"/>
          <w:szCs w:val="22"/>
          <w:lang w:val="en-AU"/>
        </w:rPr>
      </w:pPr>
      <w:r w:rsidRPr="00114D54">
        <w:rPr>
          <w:rFonts w:ascii="Arial" w:eastAsia="Calibri" w:hAnsi="Arial" w:cs="Arial"/>
          <w:sz w:val="22"/>
          <w:szCs w:val="22"/>
          <w:lang w:val="en-AU"/>
        </w:rPr>
        <w:t>Singh TP, Vangaveti VN, Kennedy RL, Malabu UH. Role of tel</w:t>
      </w:r>
      <w:r w:rsidR="00114D54">
        <w:rPr>
          <w:rFonts w:ascii="Arial" w:eastAsia="Calibri" w:hAnsi="Arial" w:cs="Arial"/>
          <w:sz w:val="22"/>
          <w:szCs w:val="22"/>
          <w:lang w:val="en-AU"/>
        </w:rPr>
        <w:t xml:space="preserve">ehealth in diabetic foot ulcer </w:t>
      </w:r>
      <w:r w:rsidRPr="00114D54">
        <w:rPr>
          <w:rFonts w:ascii="Arial" w:eastAsia="Calibri" w:hAnsi="Arial" w:cs="Arial"/>
          <w:sz w:val="22"/>
          <w:szCs w:val="22"/>
          <w:lang w:val="en-AU"/>
        </w:rPr>
        <w:t>management–A systematic review. Australian Journal of Rural Health. 2016;24(4):224-9.</w:t>
      </w:r>
      <w:r w:rsidR="00114D54">
        <w:rPr>
          <w:rFonts w:ascii="Arial" w:eastAsia="Calibri" w:hAnsi="Arial" w:cs="Arial"/>
          <w:sz w:val="22"/>
          <w:szCs w:val="22"/>
          <w:lang w:val="en-AU"/>
        </w:rPr>
        <w:t xml:space="preserve"> </w:t>
      </w:r>
    </w:p>
    <w:p w:rsidR="006C69F6" w:rsidRPr="006C69F6" w:rsidRDefault="006C69F6" w:rsidP="006C69F6">
      <w:pPr>
        <w:spacing w:after="160"/>
        <w:jc w:val="both"/>
        <w:rPr>
          <w:rFonts w:ascii="Arial" w:eastAsia="Calibri" w:hAnsi="Arial" w:cs="Arial"/>
          <w:sz w:val="22"/>
          <w:szCs w:val="22"/>
          <w:lang w:val="en-AU"/>
        </w:rPr>
      </w:pPr>
      <w:r w:rsidRPr="006C69F6">
        <w:rPr>
          <w:rFonts w:ascii="Arial" w:eastAsia="Calibri" w:hAnsi="Arial" w:cs="Arial"/>
          <w:sz w:val="22"/>
          <w:szCs w:val="22"/>
          <w:lang w:val="en-AU"/>
        </w:rPr>
        <w:t xml:space="preserve">Nair JJ, Singh TP. Sjogren’s syndrome: Review of the aetiology, Pathophysiology &amp; </w:t>
      </w:r>
      <w:r w:rsidRPr="006C69F6">
        <w:rPr>
          <w:rFonts w:ascii="Arial" w:eastAsia="Calibri" w:hAnsi="Arial" w:cs="Arial"/>
          <w:sz w:val="22"/>
          <w:szCs w:val="22"/>
          <w:lang w:val="en-AU"/>
        </w:rPr>
        <w:cr/>
        <w:t>Potential therapeutic interventions. Journal of Clinic</w:t>
      </w:r>
      <w:r>
        <w:rPr>
          <w:rFonts w:ascii="Arial" w:eastAsia="Calibri" w:hAnsi="Arial" w:cs="Arial"/>
          <w:sz w:val="22"/>
          <w:szCs w:val="22"/>
          <w:lang w:val="en-AU"/>
        </w:rPr>
        <w:t xml:space="preserve">al and Experimental Dentistry. </w:t>
      </w:r>
      <w:r w:rsidRPr="006C69F6">
        <w:rPr>
          <w:rFonts w:ascii="Arial" w:eastAsia="Calibri" w:hAnsi="Arial" w:cs="Arial"/>
          <w:sz w:val="22"/>
          <w:szCs w:val="22"/>
          <w:lang w:val="en-AU"/>
        </w:rPr>
        <w:t>2017;9(4):e584-e9.</w:t>
      </w:r>
    </w:p>
    <w:p w:rsidR="006C69F6" w:rsidRPr="00114D54" w:rsidRDefault="006C69F6" w:rsidP="007948A9">
      <w:pPr>
        <w:spacing w:after="160"/>
        <w:jc w:val="both"/>
        <w:rPr>
          <w:rFonts w:ascii="Arial" w:eastAsia="Calibri" w:hAnsi="Arial" w:cs="Arial"/>
          <w:sz w:val="22"/>
          <w:szCs w:val="22"/>
          <w:lang w:val="en-AU"/>
        </w:rPr>
      </w:pPr>
      <w:r w:rsidRPr="006C69F6">
        <w:rPr>
          <w:rFonts w:ascii="Arial" w:eastAsia="Calibri" w:hAnsi="Arial" w:cs="Arial"/>
          <w:sz w:val="22"/>
          <w:szCs w:val="22"/>
          <w:lang w:val="en-AU"/>
        </w:rPr>
        <w:t xml:space="preserve">Singh TP, Vangaveti VN, Malabu UH. Dipeptidyl peptidase-4 </w:t>
      </w:r>
      <w:r>
        <w:rPr>
          <w:rFonts w:ascii="Arial" w:eastAsia="Calibri" w:hAnsi="Arial" w:cs="Arial"/>
          <w:sz w:val="22"/>
          <w:szCs w:val="22"/>
          <w:lang w:val="en-AU"/>
        </w:rPr>
        <w:t xml:space="preserve">inhibitors and their potential </w:t>
      </w:r>
      <w:r w:rsidRPr="006C69F6">
        <w:rPr>
          <w:rFonts w:ascii="Arial" w:eastAsia="Calibri" w:hAnsi="Arial" w:cs="Arial"/>
          <w:sz w:val="22"/>
          <w:szCs w:val="22"/>
          <w:lang w:val="en-AU"/>
        </w:rPr>
        <w:t xml:space="preserve">role in the management of atherosclerosis—a review. </w:t>
      </w:r>
      <w:r>
        <w:rPr>
          <w:rFonts w:ascii="Arial" w:eastAsia="Calibri" w:hAnsi="Arial" w:cs="Arial"/>
          <w:sz w:val="22"/>
          <w:szCs w:val="22"/>
          <w:lang w:val="en-AU"/>
        </w:rPr>
        <w:t xml:space="preserve">Diabetes &amp; Metabolic Syndrome: </w:t>
      </w:r>
      <w:r w:rsidRPr="006C69F6">
        <w:rPr>
          <w:rFonts w:ascii="Arial" w:eastAsia="Calibri" w:hAnsi="Arial" w:cs="Arial"/>
          <w:sz w:val="22"/>
          <w:szCs w:val="22"/>
          <w:lang w:val="en-AU"/>
        </w:rPr>
        <w:t>Clinical Research &amp; Reviews. 2015;9(4):223-9. [Impact factor: 0.8; Citations: 7]</w:t>
      </w:r>
    </w:p>
    <w:p w:rsidR="007948A9" w:rsidRDefault="007948A9" w:rsidP="007948A9">
      <w:pPr>
        <w:rPr>
          <w:rFonts w:ascii="Arial" w:hAnsi="Arial" w:cs="Arial"/>
          <w:sz w:val="22"/>
          <w:szCs w:val="22"/>
        </w:rPr>
      </w:pPr>
    </w:p>
    <w:p w:rsidR="007948A9" w:rsidRPr="000D4E2B" w:rsidRDefault="007948A9" w:rsidP="007948A9">
      <w:pPr>
        <w:rPr>
          <w:rFonts w:ascii="Arial" w:hAnsi="Arial" w:cs="Arial"/>
          <w:sz w:val="22"/>
        </w:rPr>
      </w:pPr>
      <w:r w:rsidRPr="000D4E2B">
        <w:rPr>
          <w:rFonts w:ascii="Arial" w:hAnsi="Arial" w:cs="Arial"/>
          <w:b/>
          <w:sz w:val="22"/>
        </w:rPr>
        <w:t xml:space="preserve">CV: </w:t>
      </w:r>
      <w:r w:rsidRPr="000D4E2B">
        <w:rPr>
          <w:rFonts w:ascii="Arial" w:hAnsi="Arial" w:cs="Arial"/>
          <w:sz w:val="22"/>
        </w:rPr>
        <w:t xml:space="preserve">Tejas P Singh (MBBS, MPH) is a Resident Medical Officer at the Vascular Surgery Department of the Townsville Hospital and a Junior Research Fellow at the Queensland Centre for Peripheral Vascular Disease.  </w:t>
      </w:r>
    </w:p>
    <w:p w:rsidR="007948A9" w:rsidRDefault="007948A9" w:rsidP="007948A9">
      <w:pPr>
        <w:rPr>
          <w:rFonts w:ascii="Arial" w:hAnsi="Arial" w:cs="Arial"/>
          <w:sz w:val="22"/>
          <w:szCs w:val="22"/>
        </w:rPr>
      </w:pPr>
    </w:p>
    <w:p w:rsidR="006C69F6" w:rsidRDefault="009E0D22" w:rsidP="007948A9">
      <w:pPr>
        <w:rPr>
          <w:rFonts w:ascii="Arial" w:hAnsi="Arial" w:cs="Arial"/>
          <w:sz w:val="22"/>
          <w:szCs w:val="22"/>
        </w:rPr>
      </w:pPr>
      <w:r>
        <w:rPr>
          <w:rFonts w:ascii="Arial" w:hAnsi="Arial" w:cs="Arial"/>
          <w:noProof/>
          <w:sz w:val="22"/>
          <w:szCs w:val="22"/>
        </w:rPr>
        <w:drawing>
          <wp:anchor distT="0" distB="0" distL="114300" distR="114300" simplePos="0" relativeHeight="251659264" behindDoc="0" locked="0" layoutInCell="1" allowOverlap="1">
            <wp:simplePos x="0" y="0"/>
            <wp:positionH relativeFrom="column">
              <wp:posOffset>0</wp:posOffset>
            </wp:positionH>
            <wp:positionV relativeFrom="paragraph">
              <wp:posOffset>159385</wp:posOffset>
            </wp:positionV>
            <wp:extent cx="1778000" cy="17780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778000" cy="1778000"/>
                    </a:xfrm>
                    <a:prstGeom prst="rect">
                      <a:avLst/>
                    </a:prstGeom>
                  </pic:spPr>
                </pic:pic>
              </a:graphicData>
            </a:graphic>
          </wp:anchor>
        </w:drawing>
      </w:r>
      <w:bookmarkEnd w:id="0"/>
    </w:p>
    <w:sectPr w:rsidR="006C69F6">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7C0C" w:rsidRDefault="00E97C0C" w:rsidP="00877255">
      <w:r>
        <w:separator/>
      </w:r>
    </w:p>
  </w:endnote>
  <w:endnote w:type="continuationSeparator" w:id="0">
    <w:p w:rsidR="00E97C0C" w:rsidRDefault="00E97C0C" w:rsidP="00877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7C0C" w:rsidRDefault="00E97C0C" w:rsidP="00877255">
      <w:r>
        <w:separator/>
      </w:r>
    </w:p>
  </w:footnote>
  <w:footnote w:type="continuationSeparator" w:id="0">
    <w:p w:rsidR="00E97C0C" w:rsidRDefault="00E97C0C" w:rsidP="008772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BFF"/>
    <w:rsid w:val="0003525D"/>
    <w:rsid w:val="00055EBC"/>
    <w:rsid w:val="00066486"/>
    <w:rsid w:val="00080941"/>
    <w:rsid w:val="000A3E0A"/>
    <w:rsid w:val="000C05CE"/>
    <w:rsid w:val="000C2C01"/>
    <w:rsid w:val="000D4E2B"/>
    <w:rsid w:val="000D758A"/>
    <w:rsid w:val="000E74D1"/>
    <w:rsid w:val="001073E2"/>
    <w:rsid w:val="00114D54"/>
    <w:rsid w:val="001179F8"/>
    <w:rsid w:val="001B6F4E"/>
    <w:rsid w:val="00215B9C"/>
    <w:rsid w:val="00226550"/>
    <w:rsid w:val="0029435B"/>
    <w:rsid w:val="002B7FC8"/>
    <w:rsid w:val="002D0FBC"/>
    <w:rsid w:val="002F15EB"/>
    <w:rsid w:val="003025F4"/>
    <w:rsid w:val="00356204"/>
    <w:rsid w:val="003B15A7"/>
    <w:rsid w:val="003B39BC"/>
    <w:rsid w:val="0045416E"/>
    <w:rsid w:val="00462695"/>
    <w:rsid w:val="004A4F97"/>
    <w:rsid w:val="004B5B95"/>
    <w:rsid w:val="004C45A1"/>
    <w:rsid w:val="00580A79"/>
    <w:rsid w:val="005A4A22"/>
    <w:rsid w:val="00627F14"/>
    <w:rsid w:val="006605DB"/>
    <w:rsid w:val="0066090C"/>
    <w:rsid w:val="00663BFF"/>
    <w:rsid w:val="00682FC9"/>
    <w:rsid w:val="006B5D80"/>
    <w:rsid w:val="006C69F6"/>
    <w:rsid w:val="00725C05"/>
    <w:rsid w:val="00735554"/>
    <w:rsid w:val="0074690A"/>
    <w:rsid w:val="0077310B"/>
    <w:rsid w:val="007948A9"/>
    <w:rsid w:val="007C0CDC"/>
    <w:rsid w:val="0080203B"/>
    <w:rsid w:val="00814462"/>
    <w:rsid w:val="0082392D"/>
    <w:rsid w:val="00846ADF"/>
    <w:rsid w:val="00854471"/>
    <w:rsid w:val="00857E15"/>
    <w:rsid w:val="00861EA1"/>
    <w:rsid w:val="00877255"/>
    <w:rsid w:val="008C05AC"/>
    <w:rsid w:val="008F0FA1"/>
    <w:rsid w:val="00934962"/>
    <w:rsid w:val="009E0D22"/>
    <w:rsid w:val="00A423D5"/>
    <w:rsid w:val="00A82040"/>
    <w:rsid w:val="00A93C67"/>
    <w:rsid w:val="00A97544"/>
    <w:rsid w:val="00AA1598"/>
    <w:rsid w:val="00AA5B46"/>
    <w:rsid w:val="00AB4BE9"/>
    <w:rsid w:val="00AD3001"/>
    <w:rsid w:val="00AF76B0"/>
    <w:rsid w:val="00B01465"/>
    <w:rsid w:val="00B234E3"/>
    <w:rsid w:val="00B763B8"/>
    <w:rsid w:val="00BC5CBE"/>
    <w:rsid w:val="00BD46D8"/>
    <w:rsid w:val="00C11A12"/>
    <w:rsid w:val="00C41455"/>
    <w:rsid w:val="00C45CE7"/>
    <w:rsid w:val="00C8024F"/>
    <w:rsid w:val="00C82C64"/>
    <w:rsid w:val="00C84789"/>
    <w:rsid w:val="00CA0DE6"/>
    <w:rsid w:val="00CB2597"/>
    <w:rsid w:val="00CD1643"/>
    <w:rsid w:val="00CE110C"/>
    <w:rsid w:val="00CE496D"/>
    <w:rsid w:val="00D0479E"/>
    <w:rsid w:val="00D05AB2"/>
    <w:rsid w:val="00D064CA"/>
    <w:rsid w:val="00D111CA"/>
    <w:rsid w:val="00DA637D"/>
    <w:rsid w:val="00DC2C64"/>
    <w:rsid w:val="00DC4050"/>
    <w:rsid w:val="00DE6D44"/>
    <w:rsid w:val="00E0479B"/>
    <w:rsid w:val="00E229EA"/>
    <w:rsid w:val="00E31C2A"/>
    <w:rsid w:val="00E3328F"/>
    <w:rsid w:val="00E458B1"/>
    <w:rsid w:val="00E54787"/>
    <w:rsid w:val="00E74F67"/>
    <w:rsid w:val="00E8449C"/>
    <w:rsid w:val="00E97C0C"/>
    <w:rsid w:val="00EA4AE1"/>
    <w:rsid w:val="00EB402E"/>
    <w:rsid w:val="00EC43FA"/>
    <w:rsid w:val="00F01633"/>
    <w:rsid w:val="00F423C8"/>
    <w:rsid w:val="00F50F8D"/>
    <w:rsid w:val="00F65CE1"/>
    <w:rsid w:val="00FA23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42A92B"/>
  <w15:chartTrackingRefBased/>
  <w15:docId w15:val="{04A8DCBC-75CD-4B4A-B388-0D8B547CE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C05CE"/>
    <w:rPr>
      <w:sz w:val="24"/>
      <w:szCs w:val="24"/>
      <w:lang w:val="en-GB"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sid w:val="000C05CE"/>
    <w:pPr>
      <w:widowControl w:val="0"/>
      <w:tabs>
        <w:tab w:val="left" w:pos="204"/>
      </w:tabs>
      <w:autoSpaceDE w:val="0"/>
      <w:autoSpaceDN w:val="0"/>
      <w:adjustRightInd w:val="0"/>
      <w:spacing w:line="419" w:lineRule="exact"/>
      <w:jc w:val="both"/>
    </w:pPr>
    <w:rPr>
      <w:rFonts w:ascii="Arial" w:hAnsi="Arial"/>
      <w:b/>
      <w:lang w:val="en-AU"/>
    </w:rPr>
  </w:style>
  <w:style w:type="paragraph" w:styleId="BodyTextIndent">
    <w:name w:val="Body Text Indent"/>
    <w:basedOn w:val="Normal"/>
    <w:rsid w:val="000C05CE"/>
    <w:pPr>
      <w:spacing w:after="120"/>
      <w:ind w:left="283"/>
    </w:pPr>
    <w:rPr>
      <w:sz w:val="20"/>
      <w:szCs w:val="20"/>
      <w:lang w:val="en-US"/>
    </w:rPr>
  </w:style>
  <w:style w:type="table" w:styleId="TableGrid">
    <w:name w:val="Table Grid"/>
    <w:basedOn w:val="TableNormal"/>
    <w:uiPriority w:val="59"/>
    <w:rsid w:val="000C0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
    <w:name w:val="author"/>
    <w:basedOn w:val="Normal"/>
    <w:next w:val="Normal"/>
    <w:autoRedefine/>
    <w:rsid w:val="004C45A1"/>
    <w:pPr>
      <w:autoSpaceDE w:val="0"/>
      <w:autoSpaceDN w:val="0"/>
    </w:pPr>
    <w:rPr>
      <w:bCs/>
      <w:lang w:val="en-AU"/>
    </w:rPr>
  </w:style>
  <w:style w:type="paragraph" w:customStyle="1" w:styleId="address">
    <w:name w:val="address"/>
    <w:basedOn w:val="Normal"/>
    <w:next w:val="Normal"/>
    <w:rsid w:val="004C45A1"/>
    <w:pPr>
      <w:autoSpaceDE w:val="0"/>
      <w:autoSpaceDN w:val="0"/>
    </w:pPr>
    <w:rPr>
      <w:sz w:val="18"/>
      <w:szCs w:val="22"/>
      <w:lang w:val="en-AU"/>
    </w:rPr>
  </w:style>
  <w:style w:type="paragraph" w:styleId="Title">
    <w:name w:val="Title"/>
    <w:basedOn w:val="Normal"/>
    <w:next w:val="Normal"/>
    <w:autoRedefine/>
    <w:qFormat/>
    <w:rsid w:val="004C45A1"/>
    <w:pPr>
      <w:autoSpaceDE w:val="0"/>
      <w:autoSpaceDN w:val="0"/>
      <w:outlineLvl w:val="0"/>
    </w:pPr>
    <w:rPr>
      <w:b/>
      <w:spacing w:val="-6"/>
      <w:kern w:val="28"/>
      <w:lang w:val="en-AU"/>
    </w:rPr>
  </w:style>
  <w:style w:type="paragraph" w:styleId="NoSpacing">
    <w:name w:val="No Spacing"/>
    <w:link w:val="NoSpacingChar"/>
    <w:uiPriority w:val="1"/>
    <w:qFormat/>
    <w:rsid w:val="00055EBC"/>
    <w:rPr>
      <w:rFonts w:ascii="Calibri" w:eastAsia="Calibri" w:hAnsi="Calibri" w:cs="Arial"/>
      <w:sz w:val="22"/>
      <w:szCs w:val="22"/>
      <w:lang w:eastAsia="en-US" w:bidi="he-IL"/>
    </w:rPr>
  </w:style>
  <w:style w:type="character" w:customStyle="1" w:styleId="st1">
    <w:name w:val="st1"/>
    <w:rsid w:val="00055EBC"/>
  </w:style>
  <w:style w:type="character" w:customStyle="1" w:styleId="NoSpacingChar">
    <w:name w:val="No Spacing Char."/>
    <w:link w:val="NoSpacing"/>
    <w:uiPriority w:val="1"/>
    <w:rsid w:val="00066486"/>
    <w:rPr>
      <w:rFonts w:ascii="Calibri" w:eastAsia="Calibri" w:hAnsi="Calibri" w:cs="Arial"/>
      <w:sz w:val="22"/>
      <w:szCs w:val="22"/>
      <w:lang w:val="en-AU" w:eastAsia="en-US" w:bidi="he-IL"/>
    </w:rPr>
  </w:style>
  <w:style w:type="character" w:customStyle="1" w:styleId="apple-converted-space">
    <w:name w:val="apple-converted-space"/>
    <w:rsid w:val="00EC43FA"/>
  </w:style>
  <w:style w:type="paragraph" w:styleId="FootnoteText">
    <w:name w:val="footnote text"/>
    <w:basedOn w:val="Normal"/>
    <w:link w:val="FootnoteTextChar"/>
    <w:uiPriority w:val="99"/>
    <w:unhideWhenUsed/>
    <w:rsid w:val="00877255"/>
    <w:rPr>
      <w:rFonts w:ascii="Cambria" w:eastAsia="MS Mincho" w:hAnsi="Cambria"/>
      <w:lang w:val="en-AU"/>
    </w:rPr>
  </w:style>
  <w:style w:type="character" w:customStyle="1" w:styleId="FootnoteTextChar">
    <w:name w:val="Footnote Text Char."/>
    <w:link w:val="FootnoteText"/>
    <w:uiPriority w:val="99"/>
    <w:rsid w:val="00877255"/>
    <w:rPr>
      <w:rFonts w:ascii="Cambria" w:eastAsia="MS Mincho" w:hAnsi="Cambria"/>
      <w:sz w:val="24"/>
      <w:szCs w:val="24"/>
      <w:lang w:val="en-AU" w:eastAsia="en-US"/>
    </w:rPr>
  </w:style>
  <w:style w:type="character" w:styleId="FootnoteReference">
    <w:name w:val="footnote reference"/>
    <w:uiPriority w:val="99"/>
    <w:unhideWhenUsed/>
    <w:rsid w:val="00877255"/>
    <w:rPr>
      <w:vertAlign w:val="superscript"/>
    </w:rPr>
  </w:style>
  <w:style w:type="paragraph" w:styleId="NormalWeb">
    <w:name w:val="Normal (Web)"/>
    <w:basedOn w:val="Normal"/>
    <w:uiPriority w:val="99"/>
    <w:unhideWhenUsed/>
    <w:rsid w:val="00215B9C"/>
    <w:pPr>
      <w:spacing w:before="100" w:beforeAutospacing="1" w:after="100" w:afterAutospacing="1"/>
    </w:pPr>
    <w:rPr>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572</Words>
  <Characters>3266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Paper</vt:lpstr>
    </vt:vector>
  </TitlesOfParts>
  <Company>The Conference Company</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dc:title>
  <dc:subject/>
  <dc:creator>Administrator</dc:creator>
  <cp:keywords/>
  <cp:lastModifiedBy>Tejas Singh</cp:lastModifiedBy>
  <cp:revision>2</cp:revision>
  <dcterms:created xsi:type="dcterms:W3CDTF">2018-03-06T11:23:00Z</dcterms:created>
  <dcterms:modified xsi:type="dcterms:W3CDTF">2018-03-06T11:23:00Z</dcterms:modified>
</cp:coreProperties>
</file>