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F26E0" w:rsidP="00494130">
      <w:pPr>
        <w:pStyle w:val="1"/>
        <w:spacing w:before="170"/>
        <w:ind w:left="0"/>
      </w:pPr>
      <w:r w:rsidRPr="009F26E0">
        <w:rPr>
          <w:color w:val="337AB7"/>
        </w:rPr>
        <w:t>possible predictors of aortic dissection at a diameter less than 55mm</w:t>
      </w:r>
    </w:p>
    <w:p w:rsidR="009F26E0" w:rsidRDefault="009F26E0" w:rsidP="009F26E0">
      <w:pPr>
        <w:pStyle w:val="a3"/>
        <w:spacing w:before="73" w:line="198" w:lineRule="exact"/>
        <w:ind w:left="100" w:right="5987"/>
        <w:rPr>
          <w:rFonts w:ascii="Arial"/>
        </w:rPr>
      </w:pPr>
      <w:proofErr w:type="spellStart"/>
      <w:r>
        <w:rPr>
          <w:rFonts w:ascii="Arial"/>
        </w:rPr>
        <w:t>Cun</w:t>
      </w:r>
      <w:proofErr w:type="spellEnd"/>
      <w:r>
        <w:rPr>
          <w:rFonts w:ascii="Arial"/>
        </w:rPr>
        <w:t xml:space="preserve">-Tao Yu, </w:t>
      </w:r>
      <w:proofErr w:type="spellStart"/>
      <w:r>
        <w:rPr>
          <w:rFonts w:ascii="Arial"/>
        </w:rPr>
        <w:t>Jin</w:t>
      </w:r>
      <w:proofErr w:type="spellEnd"/>
      <w:r>
        <w:rPr>
          <w:rFonts w:ascii="Arial"/>
        </w:rPr>
        <w:t xml:space="preserve">-Lin Wu, China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9F26E0" w:rsidRDefault="009F26E0" w:rsidP="009F26E0">
      <w:pPr>
        <w:pStyle w:val="a3"/>
        <w:spacing w:before="90" w:line="280" w:lineRule="auto"/>
        <w:ind w:left="100"/>
        <w:jc w:val="both"/>
      </w:pPr>
      <w:r>
        <w:t>Introduction</w:t>
      </w:r>
      <w:r>
        <w:rPr>
          <w:rFonts w:eastAsiaTheme="minorEastAsia" w:hint="eastAsia"/>
          <w:lang w:eastAsia="zh-CN"/>
        </w:rPr>
        <w:t xml:space="preserve">: </w:t>
      </w:r>
      <w:r>
        <w:t>Given the high mortality rate in patients with type A aortic dissection, predictive tools to identify patients at increased risk of aortic dissection, when the diameter of ascending aorta is still under the threshold of 55 mm, are needed to assist clinicians for optimal intervention and to help patients raise their alert.</w:t>
      </w:r>
    </w:p>
    <w:p w:rsidR="009F26E0" w:rsidRDefault="009F26E0" w:rsidP="009F26E0">
      <w:pPr>
        <w:pStyle w:val="a3"/>
        <w:spacing w:before="90" w:line="280" w:lineRule="auto"/>
        <w:ind w:left="100"/>
        <w:jc w:val="both"/>
      </w:pPr>
      <w:r>
        <w:t>Method</w:t>
      </w:r>
      <w:r>
        <w:rPr>
          <w:rFonts w:eastAsiaTheme="minorEastAsia" w:hint="eastAsia"/>
          <w:lang w:eastAsia="zh-CN"/>
        </w:rPr>
        <w:t xml:space="preserve">: </w:t>
      </w:r>
      <w:r>
        <w:t xml:space="preserve">We evaluated 528 consecutive patients of acute type A aortic dissection (AAAD) admitted to </w:t>
      </w:r>
      <w:proofErr w:type="spellStart"/>
      <w:r>
        <w:t>Fuwai</w:t>
      </w:r>
      <w:proofErr w:type="spellEnd"/>
      <w:r>
        <w:t xml:space="preserve"> hospital, Beijing, China between 2009 and 2013. Univariate testing followed by multivariate logistic regression analysis was performed to identify independent predictors of AAAD at a diameter less than 55 mm. A simplified scoring system for predicting aortic dissection at a smaller diameter was then established based on the results of the multivariate analysis.</w:t>
      </w:r>
    </w:p>
    <w:p w:rsidR="009F26E0" w:rsidRDefault="009F26E0" w:rsidP="009F26E0">
      <w:pPr>
        <w:pStyle w:val="a3"/>
        <w:spacing w:before="90" w:line="280" w:lineRule="auto"/>
        <w:ind w:left="100"/>
        <w:jc w:val="both"/>
      </w:pPr>
      <w:r>
        <w:t>Results</w:t>
      </w:r>
      <w:r>
        <w:rPr>
          <w:rFonts w:eastAsiaTheme="minorEastAsia" w:hint="eastAsia"/>
          <w:lang w:eastAsia="zh-CN"/>
        </w:rPr>
        <w:t xml:space="preserve">: </w:t>
      </w:r>
      <w:r>
        <w:t>Of the 528 AAAD patients, 375 (71%) were with a diameter less than 55mm at the level of ascending aorta. A total of 25 variables as regard with demographic characteristics, clinical features and imaging were investigated. Logistic regression identified the following presenting variables as predictors of AD at a diameter less than 55 mm: age≥50 years (OR, 0.41; 95%CI, 0.26 to 0.65; P&lt;0.01), hypertension (OR, 2.02; 95%CI, 1.20 to 3.40; P=0.01), history of aortic valve replacement (OR, 0.05; 95%CI, 0.01 to 0.42; P=0.01), history of catheterization (OR, 7.45; 95%CI, 1.26 to 44.21; P=0.03), hepatic cyst (OR, 2.69; 95%CI, 1.30 to 5.60; P=0.01), renal cyst (OR, 3.62; 95%CI, 1.85 to 7.08; P&lt;0.01), bovine arch (OR, 6.39; 95%CI, 1.47 to 27.90; P=0.02), BAV (OR, 0.19; 95%CI, 0.04 to 0.95; P=0.04). Area under the receiver operating curve (ROC) was 0.73. Hosmer-</w:t>
      </w:r>
      <w:proofErr w:type="spellStart"/>
      <w:r>
        <w:t>Lemeshow</w:t>
      </w:r>
      <w:proofErr w:type="spellEnd"/>
      <w:r>
        <w:t xml:space="preserve"> statistic, P=0.28.</w:t>
      </w:r>
    </w:p>
    <w:p w:rsidR="00AE3E37" w:rsidRDefault="00025BD6" w:rsidP="00025BD6">
      <w:pPr>
        <w:pStyle w:val="a3"/>
        <w:spacing w:before="90" w:line="280" w:lineRule="auto"/>
        <w:ind w:left="100"/>
        <w:jc w:val="both"/>
      </w:pPr>
      <w:r>
        <w:t>Conclusion</w:t>
      </w:r>
      <w:r>
        <w:rPr>
          <w:rFonts w:eastAsiaTheme="minorEastAsia" w:hint="eastAsia"/>
          <w:lang w:eastAsia="zh-CN"/>
        </w:rPr>
        <w:t xml:space="preserve">: </w:t>
      </w:r>
      <w:r w:rsidR="009F26E0">
        <w:t>Patients with age &lt; 50 years, hypertension, a history of catheterization, hepatic cyst, renal cyst, or bovine arch were more likely to develop aortic dissection at a smaller diameter.</w:t>
      </w:r>
    </w:p>
    <w:p w:rsidR="00AE3E37" w:rsidRDefault="00A9710C">
      <w:pPr>
        <w:pStyle w:val="3"/>
        <w:spacing w:before="74"/>
      </w:pPr>
      <w:r>
        <w:rPr>
          <w:b w:val="0"/>
        </w:rPr>
        <w:br w:type="column"/>
      </w:r>
      <w:r>
        <w:rPr>
          <w:color w:val="BF5A14"/>
        </w:rPr>
        <w:lastRenderedPageBreak/>
        <w:t>Image</w:t>
      </w:r>
    </w:p>
    <w:p w:rsidR="00AE3E37" w:rsidRDefault="00A9710C">
      <w:pPr>
        <w:pStyle w:val="a3"/>
        <w:spacing w:before="2"/>
        <w:rPr>
          <w:rFonts w:ascii="Arial"/>
          <w:b/>
          <w:sz w:val="16"/>
        </w:rPr>
      </w:pPr>
      <w:r>
        <w:rPr>
          <w:noProof/>
          <w:lang w:eastAsia="zh-CN"/>
        </w:rPr>
        <w:drawing>
          <wp:anchor distT="0" distB="0" distL="0" distR="0" simplePos="0" relativeHeight="251658240" behindDoc="0" locked="0" layoutInCell="1" allowOverlap="1">
            <wp:simplePos x="0" y="0"/>
            <wp:positionH relativeFrom="page">
              <wp:posOffset>4656455</wp:posOffset>
            </wp:positionH>
            <wp:positionV relativeFrom="paragraph">
              <wp:posOffset>140335</wp:posOffset>
            </wp:positionV>
            <wp:extent cx="1668780" cy="1609725"/>
            <wp:effectExtent l="0" t="0" r="762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8780" cy="1609725"/>
                    </a:xfrm>
                    <a:prstGeom prst="rect">
                      <a:avLst/>
                    </a:prstGeom>
                  </pic:spPr>
                </pic:pic>
              </a:graphicData>
            </a:graphic>
            <wp14:sizeRelH relativeFrom="margin">
              <wp14:pctWidth>0</wp14:pctWidth>
            </wp14:sizeRelH>
          </wp:anchor>
        </w:drawing>
      </w:r>
    </w:p>
    <w:p w:rsidR="009800D9" w:rsidRPr="009800D9" w:rsidRDefault="009800D9" w:rsidP="009800D9">
      <w:pPr>
        <w:rPr>
          <w:sz w:val="21"/>
        </w:rPr>
      </w:pPr>
      <w:r w:rsidRPr="009800D9">
        <w:rPr>
          <w:sz w:val="21"/>
        </w:rPr>
        <w:t xml:space="preserve">ROC curve to evaluate the predictive power of the </w:t>
      </w:r>
      <w:r>
        <w:rPr>
          <w:sz w:val="21"/>
        </w:rPr>
        <w:t>multivariate analysis</w:t>
      </w:r>
    </w:p>
    <w:p w:rsidR="005973B9" w:rsidRDefault="005973B9" w:rsidP="005973B9">
      <w:pPr>
        <w:spacing w:line="204" w:lineRule="exact"/>
        <w:rPr>
          <w:rFonts w:ascii="Arial"/>
          <w:b/>
          <w:sz w:val="20"/>
        </w:rPr>
      </w:pPr>
      <w:r>
        <w:rPr>
          <w:rFonts w:ascii="Arial"/>
          <w:b/>
          <w:color w:val="BF5A14"/>
          <w:sz w:val="20"/>
        </w:rPr>
        <w:br/>
        <w:t>Recent Publications (minimum 5)</w:t>
      </w:r>
    </w:p>
    <w:p w:rsidR="00EA2E8A" w:rsidRPr="00CA5773" w:rsidRDefault="00EA2E8A" w:rsidP="00EA2E8A">
      <w:pPr>
        <w:tabs>
          <w:tab w:val="left" w:pos="384"/>
        </w:tabs>
        <w:spacing w:before="103" w:line="216" w:lineRule="exact"/>
        <w:ind w:left="99" w:right="138"/>
        <w:rPr>
          <w:sz w:val="18"/>
          <w:szCs w:val="18"/>
        </w:rPr>
      </w:pPr>
      <w:r w:rsidRPr="00CA5773">
        <w:rPr>
          <w:sz w:val="18"/>
          <w:szCs w:val="18"/>
        </w:rPr>
        <w:t>1.</w:t>
      </w:r>
      <w:r w:rsidRPr="00CA5773">
        <w:rPr>
          <w:sz w:val="18"/>
          <w:szCs w:val="18"/>
        </w:rPr>
        <w:tab/>
        <w:t>Cheng L, Huang F, Chang Q, Zhu J, Yu C, Liu Y, et al. Repair of extensive thoracoabdominal aortic aneurysm with a tetrafurcate graft: midterm results of 63 cases. The heart surgery forum; 2010; 2010. p. E1-6.</w:t>
      </w:r>
    </w:p>
    <w:p w:rsidR="00EA2E8A" w:rsidRPr="00CA5773" w:rsidRDefault="00EA2E8A" w:rsidP="00EA2E8A">
      <w:pPr>
        <w:tabs>
          <w:tab w:val="left" w:pos="384"/>
        </w:tabs>
        <w:spacing w:before="103" w:line="216" w:lineRule="exact"/>
        <w:ind w:left="99" w:right="138"/>
        <w:rPr>
          <w:sz w:val="18"/>
          <w:szCs w:val="18"/>
        </w:rPr>
      </w:pPr>
      <w:r w:rsidRPr="00CA5773">
        <w:rPr>
          <w:sz w:val="18"/>
          <w:szCs w:val="18"/>
        </w:rPr>
        <w:t>2.</w:t>
      </w:r>
      <w:r w:rsidRPr="00CA5773">
        <w:rPr>
          <w:sz w:val="18"/>
          <w:szCs w:val="18"/>
        </w:rPr>
        <w:tab/>
        <w:t>Sun X, Zhang L, Yu C, Qian X, Chang Q. One-stage repair of extensive aortic aneurysms: mid-term results with total or subtotal aortic replacement. Interactive Cardiovascular &amp; Thoracic Surgery 2014;18(3):278-82.</w:t>
      </w:r>
    </w:p>
    <w:p w:rsidR="00EA2E8A" w:rsidRPr="00CA5773" w:rsidRDefault="00EA2E8A" w:rsidP="00EA2E8A">
      <w:pPr>
        <w:tabs>
          <w:tab w:val="left" w:pos="384"/>
        </w:tabs>
        <w:spacing w:before="103" w:line="216" w:lineRule="exact"/>
        <w:ind w:left="99" w:right="138"/>
        <w:rPr>
          <w:sz w:val="18"/>
          <w:szCs w:val="18"/>
        </w:rPr>
      </w:pPr>
      <w:r w:rsidRPr="00CA5773">
        <w:rPr>
          <w:sz w:val="18"/>
          <w:szCs w:val="18"/>
        </w:rPr>
        <w:t>3.</w:t>
      </w:r>
      <w:r w:rsidRPr="00CA5773">
        <w:rPr>
          <w:sz w:val="18"/>
          <w:szCs w:val="18"/>
        </w:rPr>
        <w:tab/>
        <w:t xml:space="preserve">Zhang L, Yu C, Qian C, Luo X, </w:t>
      </w:r>
      <w:proofErr w:type="spellStart"/>
      <w:r w:rsidRPr="00CA5773">
        <w:rPr>
          <w:sz w:val="18"/>
          <w:szCs w:val="18"/>
        </w:rPr>
        <w:t>Qiu</w:t>
      </w:r>
      <w:proofErr w:type="spellEnd"/>
      <w:r w:rsidRPr="00CA5773">
        <w:rPr>
          <w:sz w:val="18"/>
          <w:szCs w:val="18"/>
        </w:rPr>
        <w:t xml:space="preserve"> J, Liu S. Comparison of gene expression profiles in aortic dissection and normal human aortic tissues. Biomedical Reports 2016;5(4):421-7.</w:t>
      </w:r>
    </w:p>
    <w:p w:rsidR="00EA2E8A" w:rsidRPr="00CA5773" w:rsidRDefault="00EA2E8A" w:rsidP="00EA2E8A">
      <w:pPr>
        <w:tabs>
          <w:tab w:val="left" w:pos="384"/>
        </w:tabs>
        <w:spacing w:before="103" w:line="216" w:lineRule="exact"/>
        <w:ind w:left="99" w:right="138"/>
        <w:rPr>
          <w:sz w:val="18"/>
          <w:szCs w:val="18"/>
        </w:rPr>
      </w:pPr>
      <w:r w:rsidRPr="00CA5773">
        <w:rPr>
          <w:sz w:val="18"/>
          <w:szCs w:val="18"/>
        </w:rPr>
        <w:t>4.</w:t>
      </w:r>
      <w:r w:rsidRPr="00CA5773">
        <w:rPr>
          <w:sz w:val="18"/>
          <w:szCs w:val="18"/>
        </w:rPr>
        <w:tab/>
        <w:t xml:space="preserve">Zhang L, </w:t>
      </w:r>
      <w:proofErr w:type="spellStart"/>
      <w:r w:rsidRPr="00CA5773">
        <w:rPr>
          <w:sz w:val="18"/>
          <w:szCs w:val="18"/>
        </w:rPr>
        <w:t>Cuntao</w:t>
      </w:r>
      <w:proofErr w:type="spellEnd"/>
      <w:r w:rsidRPr="00CA5773">
        <w:rPr>
          <w:sz w:val="18"/>
          <w:szCs w:val="18"/>
        </w:rPr>
        <w:t xml:space="preserve"> YU, Chang Q, Luo X, </w:t>
      </w:r>
      <w:proofErr w:type="spellStart"/>
      <w:r w:rsidRPr="00CA5773">
        <w:rPr>
          <w:sz w:val="18"/>
          <w:szCs w:val="18"/>
        </w:rPr>
        <w:t>Qiu</w:t>
      </w:r>
      <w:proofErr w:type="spellEnd"/>
      <w:r w:rsidRPr="00CA5773">
        <w:rPr>
          <w:sz w:val="18"/>
          <w:szCs w:val="18"/>
        </w:rPr>
        <w:t xml:space="preserve"> J, Liu S. Screening gene expression profiles of both aortic dissection and normal aorta by microarray. Journal of Clinical Cardiology 2016.</w:t>
      </w:r>
    </w:p>
    <w:p w:rsidR="007952BF" w:rsidRDefault="007952BF" w:rsidP="007952BF">
      <w:pPr>
        <w:tabs>
          <w:tab w:val="left" w:pos="384"/>
        </w:tabs>
        <w:ind w:leftChars="64" w:left="141" w:right="117" w:firstLine="1"/>
        <w:rPr>
          <w:sz w:val="18"/>
          <w:szCs w:val="18"/>
        </w:rPr>
      </w:pPr>
    </w:p>
    <w:p w:rsidR="00AE3E37" w:rsidRPr="008756E6" w:rsidRDefault="00EA2E8A" w:rsidP="007952BF">
      <w:pPr>
        <w:tabs>
          <w:tab w:val="left" w:pos="384"/>
        </w:tabs>
        <w:ind w:leftChars="64" w:left="141" w:right="117" w:firstLine="1"/>
      </w:pPr>
      <w:bookmarkStart w:id="0" w:name="_GoBack"/>
      <w:bookmarkEnd w:id="0"/>
      <w:r w:rsidRPr="00CA5773">
        <w:rPr>
          <w:sz w:val="18"/>
          <w:szCs w:val="18"/>
        </w:rPr>
        <w:t>5.</w:t>
      </w:r>
      <w:r w:rsidRPr="00CA5773">
        <w:rPr>
          <w:sz w:val="18"/>
          <w:szCs w:val="18"/>
        </w:rPr>
        <w:tab/>
        <w:t xml:space="preserve">Liu P, Qian C, Qian X, Sun X, Yu C, Tian C, et al. Early and mid-term results after hybrid total arch repair of </w:t>
      </w:r>
      <w:proofErr w:type="spellStart"/>
      <w:r w:rsidRPr="00CA5773">
        <w:rPr>
          <w:sz w:val="18"/>
          <w:szCs w:val="18"/>
        </w:rPr>
        <w:t>DeBakey</w:t>
      </w:r>
      <w:proofErr w:type="spellEnd"/>
      <w:r w:rsidRPr="00CA5773">
        <w:rPr>
          <w:sz w:val="18"/>
          <w:szCs w:val="18"/>
        </w:rPr>
        <w:t xml:space="preserve"> type I dissection without deep hypothermic circulatory arrest. Interactive Cardiovascular &amp; Thoracic Surgery 2016;23(4):608.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1DC5D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A2E8A" w:rsidRDefault="00EA2E8A" w:rsidP="00EA2E8A">
      <w:pPr>
        <w:spacing w:before="92"/>
        <w:ind w:right="4234"/>
        <w:rPr>
          <w:rFonts w:ascii="Arial"/>
        </w:rPr>
      </w:pPr>
      <w:r>
        <w:rPr>
          <w:noProof/>
        </w:rPr>
        <w:t xml:space="preserve">              </w:t>
      </w:r>
      <w:r>
        <w:rPr>
          <w:noProof/>
          <w:lang w:eastAsia="zh-CN"/>
        </w:rPr>
        <w:drawing>
          <wp:inline distT="0" distB="0" distL="0" distR="0" wp14:anchorId="4A27C542" wp14:editId="72C74DEA">
            <wp:extent cx="416712" cy="625069"/>
            <wp:effectExtent l="0" t="0" r="254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16712" cy="625069"/>
                    </a:xfrm>
                    <a:prstGeom prst="rect">
                      <a:avLst/>
                    </a:prstGeom>
                    <a:noFill/>
                    <a:ln>
                      <a:noFill/>
                    </a:ln>
                  </pic:spPr>
                </pic:pic>
              </a:graphicData>
            </a:graphic>
          </wp:inline>
        </w:drawing>
      </w:r>
      <w:r>
        <w:rPr>
          <w:noProof/>
        </w:rPr>
        <w:t xml:space="preserve">    </w:t>
      </w:r>
      <w:r>
        <w:rPr>
          <w:rFonts w:ascii="Arial"/>
          <w:color w:val="BF5A14"/>
        </w:rPr>
        <w:t>Biography (</w:t>
      </w:r>
      <w:proofErr w:type="gramStart"/>
      <w:r>
        <w:rPr>
          <w:rFonts w:ascii="Arial"/>
          <w:color w:val="BF5A14"/>
        </w:rPr>
        <w:t>150 word</w:t>
      </w:r>
      <w:proofErr w:type="gramEnd"/>
      <w:r>
        <w:rPr>
          <w:rFonts w:ascii="Arial"/>
          <w:color w:val="BF5A14"/>
        </w:rPr>
        <w:t xml:space="preserve"> limit)</w:t>
      </w:r>
    </w:p>
    <w:p w:rsidR="00EA2E8A" w:rsidRDefault="00EA2E8A" w:rsidP="00EA2E8A">
      <w:pPr>
        <w:spacing w:before="41" w:line="154" w:lineRule="exact"/>
        <w:ind w:left="213" w:right="231"/>
        <w:jc w:val="both"/>
        <w:rPr>
          <w:rFonts w:ascii="Arial"/>
          <w:sz w:val="14"/>
        </w:rPr>
      </w:pPr>
      <w:proofErr w:type="spellStart"/>
      <w:r>
        <w:rPr>
          <w:rFonts w:ascii="Arial"/>
          <w:sz w:val="14"/>
        </w:rPr>
        <w:t>Cun</w:t>
      </w:r>
      <w:proofErr w:type="spellEnd"/>
      <w:r>
        <w:rPr>
          <w:rFonts w:ascii="Arial"/>
          <w:sz w:val="14"/>
        </w:rPr>
        <w:t xml:space="preserve">-Tao Yu </w:t>
      </w:r>
      <w:r w:rsidRPr="003641AB">
        <w:rPr>
          <w:rFonts w:ascii="Arial"/>
          <w:sz w:val="14"/>
        </w:rPr>
        <w:t xml:space="preserve">is one of the </w:t>
      </w:r>
      <w:r>
        <w:rPr>
          <w:rFonts w:ascii="Arial"/>
          <w:sz w:val="14"/>
        </w:rPr>
        <w:t xml:space="preserve">most </w:t>
      </w:r>
      <w:r w:rsidRPr="003641AB">
        <w:rPr>
          <w:rFonts w:ascii="Arial"/>
          <w:sz w:val="14"/>
        </w:rPr>
        <w:t>famous car</w:t>
      </w:r>
      <w:r>
        <w:rPr>
          <w:rFonts w:ascii="Arial"/>
          <w:sz w:val="14"/>
        </w:rPr>
        <w:t>diovascular surgeons</w:t>
      </w:r>
      <w:r w:rsidRPr="003641AB">
        <w:rPr>
          <w:rFonts w:ascii="Arial"/>
          <w:sz w:val="14"/>
        </w:rPr>
        <w:t xml:space="preserve"> in China. He is </w:t>
      </w:r>
      <w:r>
        <w:rPr>
          <w:rFonts w:ascii="Arial"/>
          <w:sz w:val="14"/>
        </w:rPr>
        <w:t>especially good</w:t>
      </w:r>
      <w:r w:rsidRPr="003641AB">
        <w:rPr>
          <w:rFonts w:ascii="Arial"/>
          <w:sz w:val="14"/>
        </w:rPr>
        <w:t xml:space="preserve"> </w:t>
      </w:r>
      <w:r>
        <w:rPr>
          <w:rFonts w:ascii="Arial"/>
          <w:sz w:val="14"/>
        </w:rPr>
        <w:t xml:space="preserve">at </w:t>
      </w:r>
      <w:r w:rsidRPr="003641AB">
        <w:rPr>
          <w:rFonts w:ascii="Arial"/>
          <w:sz w:val="14"/>
        </w:rPr>
        <w:t>all kinds of operation of large ve</w:t>
      </w:r>
      <w:r>
        <w:rPr>
          <w:rFonts w:ascii="Arial"/>
          <w:sz w:val="14"/>
        </w:rPr>
        <w:t>ssels, and has completed over 15</w:t>
      </w:r>
      <w:r w:rsidRPr="003641AB">
        <w:rPr>
          <w:rFonts w:ascii="Arial"/>
          <w:sz w:val="14"/>
        </w:rPr>
        <w:t xml:space="preserve">00 operations </w:t>
      </w:r>
      <w:r>
        <w:rPr>
          <w:rFonts w:ascii="Arial"/>
          <w:sz w:val="14"/>
        </w:rPr>
        <w:t xml:space="preserve">such as </w:t>
      </w:r>
      <w:r w:rsidRPr="003641AB">
        <w:rPr>
          <w:rFonts w:ascii="Arial"/>
          <w:sz w:val="14"/>
        </w:rPr>
        <w:t xml:space="preserve">total arch replacement and thoracoabdominal aortic replacement. </w:t>
      </w:r>
      <w:proofErr w:type="spellStart"/>
      <w:r>
        <w:rPr>
          <w:rFonts w:ascii="Arial"/>
          <w:sz w:val="14"/>
        </w:rPr>
        <w:t>Jin</w:t>
      </w:r>
      <w:proofErr w:type="spellEnd"/>
      <w:r>
        <w:rPr>
          <w:rFonts w:ascii="Arial"/>
          <w:sz w:val="14"/>
        </w:rPr>
        <w:t>-Lin Wu is his doctoral candidate.</w:t>
      </w:r>
    </w:p>
    <w:p w:rsidR="00EA2E8A" w:rsidRDefault="00EA2E8A" w:rsidP="00EA2E8A">
      <w:pPr>
        <w:spacing w:before="62"/>
        <w:ind w:left="4217" w:right="4235"/>
        <w:jc w:val="center"/>
        <w:rPr>
          <w:rStyle w:val="ac"/>
          <w:rFonts w:ascii="Arial"/>
          <w:sz w:val="14"/>
        </w:rPr>
      </w:pPr>
      <w:r>
        <w:rPr>
          <w:rFonts w:ascii="Arial"/>
          <w:sz w:val="14"/>
        </w:rPr>
        <w:t>Email: jinlinhorsy@outlook.com</w:t>
      </w:r>
    </w:p>
    <w:p w:rsidR="00EA2E8A" w:rsidRPr="00827B1F" w:rsidRDefault="00EA2E8A" w:rsidP="00EA2E8A">
      <w:pPr>
        <w:spacing w:before="62"/>
        <w:ind w:left="4217" w:right="4235"/>
        <w:jc w:val="center"/>
        <w:rPr>
          <w:rFonts w:ascii="Arial"/>
          <w:sz w:val="14"/>
        </w:rPr>
      </w:pPr>
      <w:r w:rsidRPr="00827B1F">
        <w:rPr>
          <w:rStyle w:val="ac"/>
          <w:rFonts w:ascii="Arial"/>
          <w:color w:val="auto"/>
          <w:sz w:val="14"/>
          <w:u w:val="none"/>
        </w:rPr>
        <w:t xml:space="preserve">Phone: </w:t>
      </w:r>
      <w:r>
        <w:rPr>
          <w:rStyle w:val="ac"/>
          <w:rFonts w:ascii="Arial"/>
          <w:color w:val="auto"/>
          <w:sz w:val="14"/>
          <w:u w:val="none"/>
        </w:rPr>
        <w:t>+86-188-1170-6087</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A9062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89E" w:rsidRDefault="0020389E">
      <w:r>
        <w:separator/>
      </w:r>
    </w:p>
  </w:endnote>
  <w:endnote w:type="continuationSeparator" w:id="0">
    <w:p w:rsidR="0020389E" w:rsidRDefault="00203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89E" w:rsidRDefault="0020389E">
      <w:r>
        <w:separator/>
      </w:r>
    </w:p>
  </w:footnote>
  <w:footnote w:type="continuationSeparator" w:id="0">
    <w:p w:rsidR="0020389E" w:rsidRDefault="00203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BD6"/>
    <w:rsid w:val="000642C6"/>
    <w:rsid w:val="00065718"/>
    <w:rsid w:val="000E2911"/>
    <w:rsid w:val="00123156"/>
    <w:rsid w:val="001263DF"/>
    <w:rsid w:val="0020389E"/>
    <w:rsid w:val="002220FB"/>
    <w:rsid w:val="00292ED9"/>
    <w:rsid w:val="00404E5B"/>
    <w:rsid w:val="00414F7B"/>
    <w:rsid w:val="004355DC"/>
    <w:rsid w:val="004749B4"/>
    <w:rsid w:val="00494130"/>
    <w:rsid w:val="004F3523"/>
    <w:rsid w:val="00544177"/>
    <w:rsid w:val="00596D63"/>
    <w:rsid w:val="005973B9"/>
    <w:rsid w:val="005B3A56"/>
    <w:rsid w:val="006060CE"/>
    <w:rsid w:val="0063497F"/>
    <w:rsid w:val="006910C5"/>
    <w:rsid w:val="007952BF"/>
    <w:rsid w:val="00827B1F"/>
    <w:rsid w:val="00873DF0"/>
    <w:rsid w:val="008756E6"/>
    <w:rsid w:val="009800D9"/>
    <w:rsid w:val="009B2D44"/>
    <w:rsid w:val="009F26E0"/>
    <w:rsid w:val="00A07E82"/>
    <w:rsid w:val="00A9710C"/>
    <w:rsid w:val="00AE3E37"/>
    <w:rsid w:val="00B21A57"/>
    <w:rsid w:val="00C33602"/>
    <w:rsid w:val="00CC00DB"/>
    <w:rsid w:val="00CD6F55"/>
    <w:rsid w:val="00D83DEE"/>
    <w:rsid w:val="00DE3104"/>
    <w:rsid w:val="00E029EB"/>
    <w:rsid w:val="00EA2E8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8BCEA"/>
  <w15:docId w15:val="{680DBD82-E6D9-4025-8F4D-DC002FBAF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吴进林</cp:lastModifiedBy>
  <cp:revision>4</cp:revision>
  <dcterms:created xsi:type="dcterms:W3CDTF">2016-09-03T07:53:00Z</dcterms:created>
  <dcterms:modified xsi:type="dcterms:W3CDTF">2018-02-09T12:03:00Z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