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27710" w14:textId="77777777" w:rsidR="00AE3E37" w:rsidRPr="00220AD4" w:rsidRDefault="00220AD4" w:rsidP="00220AD4">
      <w:pPr>
        <w:pStyle w:val="Heading1"/>
        <w:spacing w:before="170"/>
        <w:rPr>
          <w:color w:val="337AB7"/>
        </w:rPr>
      </w:pPr>
      <w:r w:rsidRPr="00220AD4">
        <w:rPr>
          <w:color w:val="337AB7"/>
        </w:rPr>
        <w:t xml:space="preserve">Atorvastatin enhances paracrine proangiogenic activity of hematopoietic stem/progenitor derived cells </w:t>
      </w:r>
      <w:r w:rsidRPr="00220AD4">
        <w:rPr>
          <w:i/>
          <w:color w:val="337AB7"/>
        </w:rPr>
        <w:t>in vitro</w:t>
      </w:r>
      <w:r w:rsidRPr="00220AD4">
        <w:rPr>
          <w:color w:val="337AB7"/>
        </w:rPr>
        <w:t xml:space="preserve"> but not </w:t>
      </w:r>
      <w:r w:rsidRPr="00220AD4">
        <w:rPr>
          <w:i/>
          <w:color w:val="337AB7"/>
        </w:rPr>
        <w:t>in vivo</w:t>
      </w:r>
    </w:p>
    <w:p w14:paraId="687EA668" w14:textId="77777777" w:rsidR="005973B9" w:rsidRDefault="00220AD4" w:rsidP="005973B9">
      <w:pPr>
        <w:pStyle w:val="BodyText"/>
        <w:spacing w:before="73" w:line="198" w:lineRule="exact"/>
        <w:ind w:left="100" w:right="5987"/>
        <w:rPr>
          <w:rFonts w:ascii="Arial"/>
        </w:rPr>
      </w:pPr>
      <w:r>
        <w:rPr>
          <w:rFonts w:ascii="Arial"/>
        </w:rPr>
        <w:t xml:space="preserve">Witold N. Nowak, </w:t>
      </w:r>
      <w:r w:rsidRPr="00220AD4">
        <w:rPr>
          <w:rFonts w:ascii="Arial"/>
        </w:rPr>
        <w:t>Department of Medical Biotechnology, Faculty of Biochemistry, Biophysics and Biotechnology</w:t>
      </w:r>
      <w:r>
        <w:rPr>
          <w:rFonts w:ascii="Arial"/>
        </w:rPr>
        <w:t xml:space="preserve">, </w:t>
      </w:r>
      <w:proofErr w:type="spellStart"/>
      <w:r>
        <w:rPr>
          <w:rFonts w:ascii="Arial"/>
        </w:rPr>
        <w:t>Jagiellonian</w:t>
      </w:r>
      <w:proofErr w:type="spellEnd"/>
      <w:r>
        <w:rPr>
          <w:rFonts w:ascii="Arial"/>
        </w:rPr>
        <w:t xml:space="preserve"> University, Krakow, Poland</w:t>
      </w:r>
    </w:p>
    <w:p w14:paraId="5DC2DEE3" w14:textId="77777777" w:rsidR="00220AD4" w:rsidRDefault="00220AD4" w:rsidP="005973B9">
      <w:pPr>
        <w:pStyle w:val="BodyText"/>
        <w:spacing w:before="73" w:line="198" w:lineRule="exact"/>
        <w:ind w:left="100" w:right="5987"/>
        <w:rPr>
          <w:rFonts w:ascii="Arial"/>
        </w:rPr>
      </w:pPr>
      <w:proofErr w:type="spellStart"/>
      <w:r>
        <w:rPr>
          <w:rFonts w:ascii="Arial"/>
        </w:rPr>
        <w:t>Hevidar</w:t>
      </w:r>
      <w:proofErr w:type="spellEnd"/>
      <w:r>
        <w:rPr>
          <w:rFonts w:ascii="Arial"/>
        </w:rPr>
        <w:t xml:space="preserve"> </w:t>
      </w:r>
      <w:proofErr w:type="spellStart"/>
      <w:r>
        <w:rPr>
          <w:rFonts w:ascii="Arial"/>
        </w:rPr>
        <w:t>Taha</w:t>
      </w:r>
      <w:proofErr w:type="spellEnd"/>
      <w:r>
        <w:rPr>
          <w:rFonts w:ascii="Arial"/>
        </w:rPr>
        <w:t xml:space="preserve">, </w:t>
      </w:r>
      <w:r w:rsidRPr="00220AD4">
        <w:rPr>
          <w:rFonts w:ascii="Arial"/>
        </w:rPr>
        <w:t>Department of Medical Biotechnology, Faculty of Biochemistry, Biophysics and Biotechnology</w:t>
      </w:r>
      <w:r>
        <w:rPr>
          <w:rFonts w:ascii="Arial"/>
        </w:rPr>
        <w:t xml:space="preserve">, </w:t>
      </w:r>
      <w:proofErr w:type="spellStart"/>
      <w:r>
        <w:rPr>
          <w:rFonts w:ascii="Arial"/>
        </w:rPr>
        <w:t>Jagiellonian</w:t>
      </w:r>
      <w:proofErr w:type="spellEnd"/>
      <w:r>
        <w:rPr>
          <w:rFonts w:ascii="Arial"/>
        </w:rPr>
        <w:t xml:space="preserve"> University, Krakow, Poland</w:t>
      </w:r>
    </w:p>
    <w:p w14:paraId="17ED9504" w14:textId="77777777" w:rsidR="00220AD4" w:rsidRDefault="00220AD4" w:rsidP="005973B9">
      <w:pPr>
        <w:pStyle w:val="BodyText"/>
        <w:spacing w:before="73" w:line="198" w:lineRule="exact"/>
        <w:ind w:left="100" w:right="5987"/>
        <w:rPr>
          <w:rFonts w:ascii="Arial"/>
        </w:rPr>
      </w:pPr>
      <w:r>
        <w:rPr>
          <w:rFonts w:ascii="Arial"/>
        </w:rPr>
        <w:t xml:space="preserve">Joanna </w:t>
      </w:r>
      <w:proofErr w:type="spellStart"/>
      <w:r>
        <w:rPr>
          <w:rFonts w:ascii="Arial"/>
        </w:rPr>
        <w:t>Markiewicz</w:t>
      </w:r>
      <w:proofErr w:type="spellEnd"/>
      <w:r>
        <w:rPr>
          <w:rFonts w:ascii="Arial"/>
        </w:rPr>
        <w:t xml:space="preserve">, </w:t>
      </w:r>
      <w:r w:rsidRPr="00220AD4">
        <w:rPr>
          <w:rFonts w:ascii="Arial"/>
        </w:rPr>
        <w:t>Department of Medical Biotechnology, Faculty of Biochemistry, Biophysics and Biotechnology</w:t>
      </w:r>
      <w:r>
        <w:rPr>
          <w:rFonts w:ascii="Arial"/>
        </w:rPr>
        <w:t xml:space="preserve">, </w:t>
      </w:r>
      <w:proofErr w:type="spellStart"/>
      <w:r>
        <w:rPr>
          <w:rFonts w:ascii="Arial"/>
        </w:rPr>
        <w:t>Jagiellonian</w:t>
      </w:r>
      <w:proofErr w:type="spellEnd"/>
      <w:r>
        <w:rPr>
          <w:rFonts w:ascii="Arial"/>
        </w:rPr>
        <w:t xml:space="preserve"> University, Krakow, Poland</w:t>
      </w:r>
    </w:p>
    <w:p w14:paraId="107A792C" w14:textId="77777777" w:rsidR="00220AD4" w:rsidRDefault="00220AD4" w:rsidP="005973B9">
      <w:pPr>
        <w:pStyle w:val="BodyText"/>
        <w:spacing w:before="73" w:line="198" w:lineRule="exact"/>
        <w:ind w:left="100" w:right="5987"/>
        <w:rPr>
          <w:rFonts w:ascii="Arial"/>
        </w:rPr>
      </w:pPr>
      <w:proofErr w:type="spellStart"/>
      <w:r>
        <w:rPr>
          <w:rFonts w:ascii="Arial"/>
        </w:rPr>
        <w:t>Neli</w:t>
      </w:r>
      <w:proofErr w:type="spellEnd"/>
      <w:r>
        <w:rPr>
          <w:rFonts w:ascii="Arial"/>
        </w:rPr>
        <w:t xml:space="preserve"> </w:t>
      </w:r>
      <w:proofErr w:type="spellStart"/>
      <w:r>
        <w:rPr>
          <w:rFonts w:ascii="Arial"/>
        </w:rPr>
        <w:t>Kachamakova-Trojanowska</w:t>
      </w:r>
      <w:proofErr w:type="spellEnd"/>
      <w:r>
        <w:rPr>
          <w:rFonts w:ascii="Arial"/>
        </w:rPr>
        <w:t xml:space="preserve">, </w:t>
      </w:r>
      <w:r w:rsidRPr="00220AD4">
        <w:rPr>
          <w:rFonts w:ascii="Arial"/>
        </w:rPr>
        <w:t>Department of Medical Biotechnology, Faculty of Biochemistry, Biophysics and Biotechnology</w:t>
      </w:r>
      <w:r>
        <w:rPr>
          <w:rFonts w:ascii="Arial"/>
        </w:rPr>
        <w:t xml:space="preserve">, </w:t>
      </w:r>
      <w:proofErr w:type="spellStart"/>
      <w:r>
        <w:rPr>
          <w:rFonts w:ascii="Arial"/>
        </w:rPr>
        <w:t>Jagiellonian</w:t>
      </w:r>
      <w:proofErr w:type="spellEnd"/>
      <w:r>
        <w:rPr>
          <w:rFonts w:ascii="Arial"/>
        </w:rPr>
        <w:t xml:space="preserve"> University, Krakow, Poland</w:t>
      </w:r>
    </w:p>
    <w:p w14:paraId="458741BC" w14:textId="77777777" w:rsidR="00220AD4" w:rsidRDefault="00220AD4" w:rsidP="005973B9">
      <w:pPr>
        <w:pStyle w:val="BodyText"/>
        <w:spacing w:before="73" w:line="198" w:lineRule="exact"/>
        <w:ind w:left="100" w:right="5987"/>
        <w:rPr>
          <w:rFonts w:ascii="Arial"/>
        </w:rPr>
      </w:pPr>
      <w:proofErr w:type="spellStart"/>
      <w:r>
        <w:rPr>
          <w:rFonts w:ascii="Arial"/>
        </w:rPr>
        <w:t>Urszula</w:t>
      </w:r>
      <w:proofErr w:type="spellEnd"/>
      <w:r>
        <w:rPr>
          <w:rFonts w:ascii="Arial"/>
        </w:rPr>
        <w:t xml:space="preserve"> </w:t>
      </w:r>
      <w:proofErr w:type="spellStart"/>
      <w:r>
        <w:rPr>
          <w:rFonts w:ascii="Arial"/>
        </w:rPr>
        <w:t>Florczyk-Soluch</w:t>
      </w:r>
      <w:proofErr w:type="spellEnd"/>
      <w:r>
        <w:rPr>
          <w:rFonts w:ascii="Arial"/>
        </w:rPr>
        <w:t xml:space="preserve">, </w:t>
      </w:r>
      <w:r w:rsidRPr="00220AD4">
        <w:rPr>
          <w:rFonts w:ascii="Arial"/>
        </w:rPr>
        <w:t>Department of Medical Biotechnology, Faculty of Biochemistry, Biophysics and Biotechnology</w:t>
      </w:r>
      <w:r>
        <w:rPr>
          <w:rFonts w:ascii="Arial"/>
        </w:rPr>
        <w:t xml:space="preserve">, </w:t>
      </w:r>
      <w:proofErr w:type="spellStart"/>
      <w:r>
        <w:rPr>
          <w:rFonts w:ascii="Arial"/>
        </w:rPr>
        <w:t>Jagiellonian</w:t>
      </w:r>
      <w:proofErr w:type="spellEnd"/>
      <w:r>
        <w:rPr>
          <w:rFonts w:ascii="Arial"/>
        </w:rPr>
        <w:t xml:space="preserve"> University, Krakow, Poland</w:t>
      </w:r>
    </w:p>
    <w:p w14:paraId="70F19E56" w14:textId="77777777" w:rsidR="00220AD4" w:rsidRDefault="00220AD4" w:rsidP="005973B9">
      <w:pPr>
        <w:pStyle w:val="BodyText"/>
        <w:spacing w:before="73" w:line="198" w:lineRule="exact"/>
        <w:ind w:left="100" w:right="5987"/>
        <w:rPr>
          <w:rFonts w:ascii="Arial"/>
        </w:rPr>
      </w:pPr>
      <w:proofErr w:type="spellStart"/>
      <w:r>
        <w:rPr>
          <w:rFonts w:ascii="Arial"/>
        </w:rPr>
        <w:t>Jozef</w:t>
      </w:r>
      <w:proofErr w:type="spellEnd"/>
      <w:r>
        <w:rPr>
          <w:rFonts w:ascii="Arial"/>
        </w:rPr>
        <w:t xml:space="preserve"> </w:t>
      </w:r>
      <w:proofErr w:type="spellStart"/>
      <w:r>
        <w:rPr>
          <w:rFonts w:ascii="Arial"/>
        </w:rPr>
        <w:t>Dulak</w:t>
      </w:r>
      <w:proofErr w:type="spellEnd"/>
      <w:r>
        <w:rPr>
          <w:rFonts w:ascii="Arial"/>
        </w:rPr>
        <w:t xml:space="preserve">, </w:t>
      </w:r>
      <w:r w:rsidRPr="00220AD4">
        <w:rPr>
          <w:rFonts w:ascii="Arial"/>
        </w:rPr>
        <w:t>Department of Medical Biotechnology, Faculty of Biochemistry, Biophysics and Biotechnology</w:t>
      </w:r>
      <w:r>
        <w:rPr>
          <w:rFonts w:ascii="Arial"/>
        </w:rPr>
        <w:t xml:space="preserve">, </w:t>
      </w:r>
      <w:proofErr w:type="spellStart"/>
      <w:r>
        <w:rPr>
          <w:rFonts w:ascii="Arial"/>
        </w:rPr>
        <w:t>Jagiellonian</w:t>
      </w:r>
      <w:proofErr w:type="spellEnd"/>
      <w:r>
        <w:rPr>
          <w:rFonts w:ascii="Arial"/>
        </w:rPr>
        <w:t xml:space="preserve"> University, Krakow, Poland</w:t>
      </w:r>
    </w:p>
    <w:p w14:paraId="00544FAB" w14:textId="77777777" w:rsidR="00220AD4" w:rsidRDefault="00220AD4" w:rsidP="005973B9">
      <w:pPr>
        <w:pStyle w:val="BodyText"/>
        <w:spacing w:before="73" w:line="198" w:lineRule="exact"/>
        <w:ind w:left="100" w:right="5987"/>
        <w:rPr>
          <w:rFonts w:ascii="Arial"/>
        </w:rPr>
      </w:pPr>
      <w:proofErr w:type="spellStart"/>
      <w:r>
        <w:rPr>
          <w:rFonts w:ascii="Arial"/>
        </w:rPr>
        <w:t>Alicja</w:t>
      </w:r>
      <w:proofErr w:type="spellEnd"/>
      <w:r>
        <w:rPr>
          <w:rFonts w:ascii="Arial"/>
        </w:rPr>
        <w:t xml:space="preserve"> </w:t>
      </w:r>
      <w:proofErr w:type="spellStart"/>
      <w:r>
        <w:rPr>
          <w:rFonts w:ascii="Arial"/>
        </w:rPr>
        <w:t>Jozkowicz</w:t>
      </w:r>
      <w:proofErr w:type="spellEnd"/>
      <w:r>
        <w:rPr>
          <w:rFonts w:ascii="Arial"/>
        </w:rPr>
        <w:t xml:space="preserve">, </w:t>
      </w:r>
      <w:r w:rsidRPr="00220AD4">
        <w:rPr>
          <w:rFonts w:ascii="Arial"/>
        </w:rPr>
        <w:t>Department of Medical Biotechnology, Faculty of Biochemistry, Biophysics and Biotechnology</w:t>
      </w:r>
      <w:r>
        <w:rPr>
          <w:rFonts w:ascii="Arial"/>
        </w:rPr>
        <w:t xml:space="preserve">, </w:t>
      </w:r>
      <w:proofErr w:type="spellStart"/>
      <w:r>
        <w:rPr>
          <w:rFonts w:ascii="Arial"/>
        </w:rPr>
        <w:t>Jagiellonian</w:t>
      </w:r>
      <w:proofErr w:type="spellEnd"/>
      <w:r>
        <w:rPr>
          <w:rFonts w:ascii="Arial"/>
        </w:rPr>
        <w:t xml:space="preserve"> University, Krakow, Poland</w:t>
      </w:r>
    </w:p>
    <w:p w14:paraId="3D810181" w14:textId="77777777" w:rsidR="00AE3E37" w:rsidRDefault="00AE3E37">
      <w:pPr>
        <w:pStyle w:val="BodyText"/>
        <w:rPr>
          <w:rFonts w:ascii="Arial"/>
          <w:sz w:val="20"/>
        </w:rPr>
      </w:pPr>
    </w:p>
    <w:p w14:paraId="1923760D" w14:textId="77777777" w:rsidR="00AE3E37" w:rsidRDefault="00AE3E37">
      <w:pPr>
        <w:pStyle w:val="BodyText"/>
        <w:spacing w:before="3"/>
        <w:rPr>
          <w:rFonts w:ascii="Arial"/>
          <w:sz w:val="21"/>
        </w:rPr>
      </w:pPr>
    </w:p>
    <w:p w14:paraId="00749DD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4D77DF9"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2A087687" w14:textId="77777777" w:rsidR="00220AD4" w:rsidRPr="00220AD4" w:rsidRDefault="00220AD4" w:rsidP="00985E01">
      <w:pPr>
        <w:pStyle w:val="Heading3"/>
        <w:spacing w:before="74"/>
        <w:jc w:val="both"/>
        <w:rPr>
          <w:b w:val="0"/>
          <w:sz w:val="18"/>
          <w:szCs w:val="18"/>
        </w:rPr>
      </w:pPr>
      <w:r w:rsidRPr="00220AD4">
        <w:rPr>
          <w:b w:val="0"/>
          <w:sz w:val="18"/>
          <w:szCs w:val="18"/>
        </w:rPr>
        <w:t xml:space="preserve">Circulating proangiogenic cells (PACs), were described as bone marrow-derived cells that can contribute to angiogenesis and even de novo blood vessel formation.  Number and function of PACs are impaired in patients with diabetes or cardiovascular diseases. Both diseases can be accompanied by decreased levels of </w:t>
      </w:r>
      <w:proofErr w:type="spellStart"/>
      <w:r w:rsidRPr="00220AD4">
        <w:rPr>
          <w:b w:val="0"/>
          <w:sz w:val="18"/>
          <w:szCs w:val="18"/>
        </w:rPr>
        <w:t>heme</w:t>
      </w:r>
      <w:proofErr w:type="spellEnd"/>
      <w:r w:rsidRPr="00220AD4">
        <w:rPr>
          <w:b w:val="0"/>
          <w:sz w:val="18"/>
          <w:szCs w:val="18"/>
        </w:rPr>
        <w:t xml:space="preserve"> oxygenase-1 (HMOX1), </w:t>
      </w:r>
      <w:proofErr w:type="spellStart"/>
      <w:r w:rsidRPr="00220AD4">
        <w:rPr>
          <w:b w:val="0"/>
          <w:sz w:val="18"/>
          <w:szCs w:val="18"/>
        </w:rPr>
        <w:t>cytoprotective</w:t>
      </w:r>
      <w:proofErr w:type="spellEnd"/>
      <w:r w:rsidRPr="00220AD4">
        <w:rPr>
          <w:b w:val="0"/>
          <w:sz w:val="18"/>
          <w:szCs w:val="18"/>
        </w:rPr>
        <w:t xml:space="preserve">, </w:t>
      </w:r>
      <w:proofErr w:type="spellStart"/>
      <w:r w:rsidRPr="00220AD4">
        <w:rPr>
          <w:b w:val="0"/>
          <w:sz w:val="18"/>
          <w:szCs w:val="18"/>
        </w:rPr>
        <w:t>heme</w:t>
      </w:r>
      <w:proofErr w:type="spellEnd"/>
      <w:r w:rsidRPr="00220AD4">
        <w:rPr>
          <w:b w:val="0"/>
          <w:sz w:val="18"/>
          <w:szCs w:val="18"/>
        </w:rPr>
        <w:t>-degrading enzyme, which is crucial for PAC function in mouse models. Therefore, our study aimed to check whether pharmacological enhancement of HMOX1 expression in hematopoietic stem/progenitor (HSPC) derived PAC cells would improve their paracrine proangiogenic activity. We used GCSF-mobilized CD34</w:t>
      </w:r>
      <w:r w:rsidRPr="00220AD4">
        <w:rPr>
          <w:b w:val="0"/>
          <w:sz w:val="18"/>
          <w:szCs w:val="18"/>
          <w:vertAlign w:val="superscript"/>
        </w:rPr>
        <w:t>+</w:t>
      </w:r>
      <w:r w:rsidRPr="00220AD4">
        <w:rPr>
          <w:b w:val="0"/>
          <w:sz w:val="18"/>
          <w:szCs w:val="18"/>
        </w:rPr>
        <w:t xml:space="preserve"> cells, FACS-sorted from a healthy donor PBMCs. Sorted cells were CD45</w:t>
      </w:r>
      <w:r w:rsidRPr="00220AD4">
        <w:rPr>
          <w:b w:val="0"/>
          <w:sz w:val="18"/>
          <w:szCs w:val="18"/>
          <w:vertAlign w:val="superscript"/>
        </w:rPr>
        <w:t>dim</w:t>
      </w:r>
      <w:r w:rsidRPr="00220AD4">
        <w:rPr>
          <w:b w:val="0"/>
          <w:sz w:val="18"/>
          <w:szCs w:val="18"/>
        </w:rPr>
        <w:t>CD90</w:t>
      </w:r>
      <w:r w:rsidRPr="00220AD4">
        <w:rPr>
          <w:b w:val="0"/>
          <w:sz w:val="18"/>
          <w:szCs w:val="18"/>
          <w:vertAlign w:val="superscript"/>
        </w:rPr>
        <w:t>-</w:t>
      </w:r>
      <w:r w:rsidRPr="00220AD4">
        <w:rPr>
          <w:b w:val="0"/>
          <w:sz w:val="18"/>
          <w:szCs w:val="18"/>
        </w:rPr>
        <w:t>CD105</w:t>
      </w:r>
      <w:r w:rsidRPr="00220AD4">
        <w:rPr>
          <w:b w:val="0"/>
          <w:sz w:val="18"/>
          <w:szCs w:val="18"/>
          <w:vertAlign w:val="superscript"/>
        </w:rPr>
        <w:t>-</w:t>
      </w:r>
      <w:r w:rsidRPr="00220AD4">
        <w:rPr>
          <w:b w:val="0"/>
          <w:sz w:val="18"/>
          <w:szCs w:val="18"/>
        </w:rPr>
        <w:t>CD181</w:t>
      </w:r>
      <w:r w:rsidRPr="00220AD4">
        <w:rPr>
          <w:b w:val="0"/>
          <w:sz w:val="18"/>
          <w:szCs w:val="18"/>
          <w:vertAlign w:val="superscript"/>
        </w:rPr>
        <w:t>-</w:t>
      </w:r>
      <w:r w:rsidRPr="00220AD4">
        <w:rPr>
          <w:b w:val="0"/>
          <w:sz w:val="18"/>
          <w:szCs w:val="18"/>
        </w:rPr>
        <w:t xml:space="preserve"> and predominantly CD133</w:t>
      </w:r>
      <w:r w:rsidRPr="00220AD4">
        <w:rPr>
          <w:b w:val="0"/>
          <w:sz w:val="18"/>
          <w:szCs w:val="18"/>
          <w:vertAlign w:val="superscript"/>
        </w:rPr>
        <w:t>+</w:t>
      </w:r>
      <w:r w:rsidRPr="00220AD4">
        <w:rPr>
          <w:b w:val="0"/>
          <w:sz w:val="18"/>
          <w:szCs w:val="18"/>
        </w:rPr>
        <w:t xml:space="preserve"> and CD11b</w:t>
      </w:r>
      <w:r w:rsidRPr="00220AD4">
        <w:rPr>
          <w:b w:val="0"/>
          <w:sz w:val="18"/>
          <w:szCs w:val="18"/>
          <w:vertAlign w:val="superscript"/>
        </w:rPr>
        <w:t>-</w:t>
      </w:r>
      <w:r w:rsidRPr="00220AD4">
        <w:rPr>
          <w:b w:val="0"/>
          <w:sz w:val="18"/>
          <w:szCs w:val="18"/>
        </w:rPr>
        <w:t>. CD34</w:t>
      </w:r>
      <w:r w:rsidRPr="00220AD4">
        <w:rPr>
          <w:b w:val="0"/>
          <w:sz w:val="18"/>
          <w:szCs w:val="18"/>
          <w:vertAlign w:val="superscript"/>
        </w:rPr>
        <w:t>+</w:t>
      </w:r>
      <w:r w:rsidRPr="00220AD4">
        <w:rPr>
          <w:b w:val="0"/>
          <w:sz w:val="18"/>
          <w:szCs w:val="18"/>
        </w:rPr>
        <w:t xml:space="preserve"> cells after 6 days in culture were stimulated with atorvastatin, acetylsalicylic acid, </w:t>
      </w:r>
      <w:proofErr w:type="spellStart"/>
      <w:r w:rsidRPr="00220AD4">
        <w:rPr>
          <w:b w:val="0"/>
          <w:sz w:val="18"/>
          <w:szCs w:val="18"/>
        </w:rPr>
        <w:t>sulforaphane</w:t>
      </w:r>
      <w:proofErr w:type="spellEnd"/>
      <w:r w:rsidRPr="00220AD4">
        <w:rPr>
          <w:b w:val="0"/>
          <w:sz w:val="18"/>
          <w:szCs w:val="18"/>
        </w:rPr>
        <w:t>, resveratrol or metformin for 48 h. Conditioned media from such cells were then used to stimulate human aortic endothelial cells (</w:t>
      </w:r>
      <w:proofErr w:type="spellStart"/>
      <w:r w:rsidRPr="00220AD4">
        <w:rPr>
          <w:b w:val="0"/>
          <w:sz w:val="18"/>
          <w:szCs w:val="18"/>
        </w:rPr>
        <w:t>HAoEC</w:t>
      </w:r>
      <w:proofErr w:type="spellEnd"/>
      <w:r w:rsidRPr="00220AD4">
        <w:rPr>
          <w:b w:val="0"/>
          <w:sz w:val="18"/>
          <w:szCs w:val="18"/>
        </w:rPr>
        <w:t xml:space="preserve">) to enhance tube-like structure formation in </w:t>
      </w:r>
      <w:proofErr w:type="spellStart"/>
      <w:r w:rsidRPr="00220AD4">
        <w:rPr>
          <w:b w:val="0"/>
          <w:sz w:val="18"/>
          <w:szCs w:val="18"/>
        </w:rPr>
        <w:t>Matrigel</w:t>
      </w:r>
      <w:proofErr w:type="spellEnd"/>
      <w:r w:rsidRPr="00220AD4">
        <w:rPr>
          <w:b w:val="0"/>
          <w:sz w:val="18"/>
          <w:szCs w:val="18"/>
        </w:rPr>
        <w:t xml:space="preserve"> assay. The only stimulant that enhanced PAC paracrine </w:t>
      </w:r>
      <w:proofErr w:type="spellStart"/>
      <w:r w:rsidRPr="00220AD4">
        <w:rPr>
          <w:b w:val="0"/>
          <w:sz w:val="18"/>
          <w:szCs w:val="18"/>
        </w:rPr>
        <w:t>angiogenic</w:t>
      </w:r>
      <w:proofErr w:type="spellEnd"/>
      <w:r w:rsidRPr="00220AD4">
        <w:rPr>
          <w:b w:val="0"/>
          <w:sz w:val="18"/>
          <w:szCs w:val="18"/>
        </w:rPr>
        <w:t xml:space="preserve"> activity was atorvastatin. On the other hand, the only one that induced </w:t>
      </w:r>
      <w:proofErr w:type="spellStart"/>
      <w:r w:rsidRPr="00220AD4">
        <w:rPr>
          <w:b w:val="0"/>
          <w:sz w:val="18"/>
          <w:szCs w:val="18"/>
        </w:rPr>
        <w:t>heme</w:t>
      </w:r>
      <w:proofErr w:type="spellEnd"/>
      <w:r w:rsidRPr="00220AD4">
        <w:rPr>
          <w:b w:val="0"/>
          <w:sz w:val="18"/>
          <w:szCs w:val="18"/>
        </w:rPr>
        <w:t xml:space="preserve"> oxygenase-1 expression was </w:t>
      </w:r>
      <w:proofErr w:type="spellStart"/>
      <w:r w:rsidRPr="00220AD4">
        <w:rPr>
          <w:b w:val="0"/>
          <w:sz w:val="18"/>
          <w:szCs w:val="18"/>
        </w:rPr>
        <w:t>sulforaphane</w:t>
      </w:r>
      <w:proofErr w:type="spellEnd"/>
      <w:r w:rsidRPr="00220AD4">
        <w:rPr>
          <w:b w:val="0"/>
          <w:sz w:val="18"/>
          <w:szCs w:val="18"/>
        </w:rPr>
        <w:t xml:space="preserve">, a known activator of HMOX1 inducer – NRF2. Moreover, none of the stimulants changed the levels of 30 cytokines and growth factors tested with the multiplex test. Then, we used atorvastatin-stimulated cells or conditioned media from them in the </w:t>
      </w:r>
      <w:proofErr w:type="spellStart"/>
      <w:r w:rsidRPr="00220AD4">
        <w:rPr>
          <w:b w:val="0"/>
          <w:sz w:val="18"/>
          <w:szCs w:val="18"/>
        </w:rPr>
        <w:t>Matrigel</w:t>
      </w:r>
      <w:proofErr w:type="spellEnd"/>
      <w:r w:rsidRPr="00220AD4">
        <w:rPr>
          <w:b w:val="0"/>
          <w:sz w:val="18"/>
          <w:szCs w:val="18"/>
        </w:rPr>
        <w:t xml:space="preserve"> plug </w:t>
      </w:r>
      <w:r w:rsidRPr="00220AD4">
        <w:rPr>
          <w:b w:val="0"/>
          <w:i/>
          <w:sz w:val="18"/>
          <w:szCs w:val="18"/>
        </w:rPr>
        <w:t>in vivo</w:t>
      </w:r>
      <w:r w:rsidRPr="00220AD4">
        <w:rPr>
          <w:b w:val="0"/>
          <w:sz w:val="18"/>
          <w:szCs w:val="18"/>
        </w:rPr>
        <w:t xml:space="preserve"> </w:t>
      </w:r>
      <w:proofErr w:type="spellStart"/>
      <w:r w:rsidRPr="00220AD4">
        <w:rPr>
          <w:b w:val="0"/>
          <w:sz w:val="18"/>
          <w:szCs w:val="18"/>
        </w:rPr>
        <w:t>angiogenic</w:t>
      </w:r>
      <w:proofErr w:type="spellEnd"/>
      <w:r w:rsidRPr="00220AD4">
        <w:rPr>
          <w:b w:val="0"/>
          <w:sz w:val="18"/>
          <w:szCs w:val="18"/>
        </w:rPr>
        <w:t xml:space="preserve"> assay. Neither atorvastatin alone in control media nor conditioned media nor AT-stimulated cells affected numbers of endothelial cells in the plug or plug's </w:t>
      </w:r>
      <w:proofErr w:type="spellStart"/>
      <w:r w:rsidRPr="00220AD4">
        <w:rPr>
          <w:b w:val="0"/>
          <w:sz w:val="18"/>
          <w:szCs w:val="18"/>
        </w:rPr>
        <w:t>vascularisation</w:t>
      </w:r>
      <w:proofErr w:type="spellEnd"/>
      <w:r w:rsidRPr="00220AD4">
        <w:rPr>
          <w:b w:val="0"/>
          <w:sz w:val="18"/>
          <w:szCs w:val="18"/>
        </w:rPr>
        <w:t xml:space="preserve">. Concluding, atorvastatin can enhance the paracrine </w:t>
      </w:r>
      <w:proofErr w:type="spellStart"/>
      <w:r w:rsidRPr="00220AD4">
        <w:rPr>
          <w:b w:val="0"/>
          <w:sz w:val="18"/>
          <w:szCs w:val="18"/>
        </w:rPr>
        <w:t>angiogenic</w:t>
      </w:r>
      <w:proofErr w:type="spellEnd"/>
      <w:r w:rsidRPr="00220AD4">
        <w:rPr>
          <w:b w:val="0"/>
          <w:sz w:val="18"/>
          <w:szCs w:val="18"/>
        </w:rPr>
        <w:t xml:space="preserve"> activity of human CD34+ HSPC-derived PAC cells </w:t>
      </w:r>
      <w:r w:rsidRPr="00220AD4">
        <w:rPr>
          <w:b w:val="0"/>
          <w:i/>
          <w:sz w:val="18"/>
          <w:szCs w:val="18"/>
        </w:rPr>
        <w:t>in vitro</w:t>
      </w:r>
      <w:r w:rsidRPr="00220AD4">
        <w:rPr>
          <w:b w:val="0"/>
          <w:sz w:val="18"/>
          <w:szCs w:val="18"/>
        </w:rPr>
        <w:t xml:space="preserve">, but the effect was not observed </w:t>
      </w:r>
      <w:r w:rsidRPr="00220AD4">
        <w:rPr>
          <w:b w:val="0"/>
          <w:i/>
          <w:sz w:val="18"/>
          <w:szCs w:val="18"/>
        </w:rPr>
        <w:t>in vivo</w:t>
      </w:r>
      <w:r w:rsidRPr="00220AD4">
        <w:rPr>
          <w:b w:val="0"/>
          <w:sz w:val="18"/>
          <w:szCs w:val="18"/>
        </w:rPr>
        <w:t xml:space="preserve">. Moreover, the enhancement of HMOX1 expression with </w:t>
      </w:r>
      <w:proofErr w:type="spellStart"/>
      <w:r w:rsidRPr="00220AD4">
        <w:rPr>
          <w:b w:val="0"/>
          <w:sz w:val="18"/>
          <w:szCs w:val="18"/>
        </w:rPr>
        <w:t>sulforaphane</w:t>
      </w:r>
      <w:proofErr w:type="spellEnd"/>
      <w:r w:rsidRPr="00220AD4">
        <w:rPr>
          <w:b w:val="0"/>
          <w:sz w:val="18"/>
          <w:szCs w:val="18"/>
        </w:rPr>
        <w:t xml:space="preserve"> does not influence PAC proangiogenic action </w:t>
      </w:r>
      <w:r w:rsidRPr="00220AD4">
        <w:rPr>
          <w:b w:val="0"/>
          <w:i/>
          <w:sz w:val="18"/>
          <w:szCs w:val="18"/>
        </w:rPr>
        <w:t>in vitro</w:t>
      </w:r>
      <w:r w:rsidRPr="00220AD4">
        <w:rPr>
          <w:b w:val="0"/>
          <w:sz w:val="18"/>
          <w:szCs w:val="18"/>
        </w:rPr>
        <w:t>.</w:t>
      </w:r>
    </w:p>
    <w:p w14:paraId="21B7D972" w14:textId="77777777" w:rsidR="005973B9" w:rsidRPr="00985E01" w:rsidRDefault="00A9710C" w:rsidP="00985E01">
      <w:pPr>
        <w:pStyle w:val="Heading3"/>
        <w:spacing w:before="74"/>
      </w:pPr>
      <w:r>
        <w:rPr>
          <w:b w:val="0"/>
        </w:rPr>
        <w:br w:type="column"/>
      </w:r>
      <w:r w:rsidR="005973B9">
        <w:rPr>
          <w:color w:val="BF5A14"/>
        </w:rPr>
        <w:lastRenderedPageBreak/>
        <w:t>Recent Publications (minimum 5)</w:t>
      </w:r>
    </w:p>
    <w:p w14:paraId="251DB5AE" w14:textId="77777777" w:rsidR="005973B9" w:rsidRDefault="00244E72" w:rsidP="005973B9">
      <w:pPr>
        <w:pStyle w:val="ListParagraph"/>
        <w:numPr>
          <w:ilvl w:val="0"/>
          <w:numId w:val="3"/>
        </w:numPr>
        <w:tabs>
          <w:tab w:val="left" w:pos="384"/>
        </w:tabs>
        <w:spacing w:before="103" w:line="216" w:lineRule="exact"/>
        <w:ind w:right="138" w:hanging="283"/>
        <w:rPr>
          <w:sz w:val="18"/>
        </w:rPr>
      </w:pPr>
      <w:proofErr w:type="spellStart"/>
      <w:r w:rsidRPr="00244E72">
        <w:rPr>
          <w:sz w:val="18"/>
        </w:rPr>
        <w:t>Xie</w:t>
      </w:r>
      <w:proofErr w:type="spellEnd"/>
      <w:r w:rsidRPr="00244E72">
        <w:rPr>
          <w:sz w:val="18"/>
        </w:rPr>
        <w:t xml:space="preserve"> Y, Potter CMF, Le Bras A, Nowak WN, </w:t>
      </w:r>
      <w:proofErr w:type="spellStart"/>
      <w:r w:rsidRPr="00244E72">
        <w:rPr>
          <w:sz w:val="18"/>
        </w:rPr>
        <w:t>Gu</w:t>
      </w:r>
      <w:proofErr w:type="spellEnd"/>
      <w:r w:rsidRPr="00244E72">
        <w:rPr>
          <w:sz w:val="18"/>
        </w:rPr>
        <w:t xml:space="preserve"> W, </w:t>
      </w:r>
      <w:proofErr w:type="spellStart"/>
      <w:r w:rsidRPr="00244E72">
        <w:rPr>
          <w:sz w:val="18"/>
        </w:rPr>
        <w:t>Bhaloo</w:t>
      </w:r>
      <w:proofErr w:type="spellEnd"/>
      <w:r w:rsidRPr="00244E72">
        <w:rPr>
          <w:sz w:val="18"/>
        </w:rPr>
        <w:t xml:space="preserve"> SI, Zhang Z, Hu Y, Zhang L, Xu Q</w:t>
      </w:r>
      <w:r>
        <w:rPr>
          <w:sz w:val="18"/>
        </w:rPr>
        <w:t xml:space="preserve"> (2017</w:t>
      </w:r>
      <w:r w:rsidR="005973B9">
        <w:rPr>
          <w:sz w:val="18"/>
        </w:rPr>
        <w:t xml:space="preserve">) </w:t>
      </w:r>
      <w:r w:rsidRPr="00244E72">
        <w:rPr>
          <w:sz w:val="18"/>
        </w:rPr>
        <w:t xml:space="preserve">Leptin Induces Sca-1+ Progenitor Cell Migration Enhancing </w:t>
      </w:r>
      <w:proofErr w:type="spellStart"/>
      <w:r w:rsidRPr="00244E72">
        <w:rPr>
          <w:sz w:val="18"/>
        </w:rPr>
        <w:t>Neointimal</w:t>
      </w:r>
      <w:proofErr w:type="spellEnd"/>
      <w:r w:rsidRPr="00244E72">
        <w:rPr>
          <w:sz w:val="18"/>
        </w:rPr>
        <w:t xml:space="preserve"> Lesions in Vessel-Injury Mouse Models</w:t>
      </w:r>
      <w:r w:rsidR="005973B9" w:rsidRPr="005973B9">
        <w:rPr>
          <w:sz w:val="18"/>
        </w:rPr>
        <w:t xml:space="preserve">. </w:t>
      </w:r>
      <w:proofErr w:type="spellStart"/>
      <w:r w:rsidRPr="00244E72">
        <w:rPr>
          <w:sz w:val="18"/>
        </w:rPr>
        <w:t>Arterioscl</w:t>
      </w:r>
      <w:r>
        <w:rPr>
          <w:sz w:val="18"/>
        </w:rPr>
        <w:t>er</w:t>
      </w:r>
      <w:proofErr w:type="spellEnd"/>
      <w:r>
        <w:rPr>
          <w:sz w:val="18"/>
        </w:rPr>
        <w:t xml:space="preserve"> </w:t>
      </w:r>
      <w:proofErr w:type="spellStart"/>
      <w:r>
        <w:rPr>
          <w:sz w:val="18"/>
        </w:rPr>
        <w:t>Thromb</w:t>
      </w:r>
      <w:proofErr w:type="spellEnd"/>
      <w:r>
        <w:rPr>
          <w:sz w:val="18"/>
        </w:rPr>
        <w:t xml:space="preserve"> </w:t>
      </w:r>
      <w:proofErr w:type="spellStart"/>
      <w:r>
        <w:rPr>
          <w:sz w:val="18"/>
        </w:rPr>
        <w:t>Vasc</w:t>
      </w:r>
      <w:proofErr w:type="spellEnd"/>
      <w:r>
        <w:rPr>
          <w:sz w:val="18"/>
        </w:rPr>
        <w:t xml:space="preserve"> </w:t>
      </w:r>
      <w:proofErr w:type="spellStart"/>
      <w:r>
        <w:rPr>
          <w:sz w:val="18"/>
        </w:rPr>
        <w:t>Biol</w:t>
      </w:r>
      <w:proofErr w:type="spellEnd"/>
      <w:r>
        <w:rPr>
          <w:sz w:val="18"/>
        </w:rPr>
        <w:t xml:space="preserve"> 11</w:t>
      </w:r>
      <w:r w:rsidRPr="00244E72">
        <w:rPr>
          <w:sz w:val="18"/>
        </w:rPr>
        <w:t>:2114-2127</w:t>
      </w:r>
      <w:r w:rsidR="005973B9" w:rsidRPr="005973B9">
        <w:rPr>
          <w:sz w:val="18"/>
        </w:rPr>
        <w:t>.</w:t>
      </w:r>
    </w:p>
    <w:p w14:paraId="7FCFAC6F" w14:textId="77777777" w:rsidR="005973B9" w:rsidRDefault="00244E72" w:rsidP="005973B9">
      <w:pPr>
        <w:pStyle w:val="ListParagraph"/>
        <w:numPr>
          <w:ilvl w:val="0"/>
          <w:numId w:val="3"/>
        </w:numPr>
        <w:tabs>
          <w:tab w:val="left" w:pos="384"/>
        </w:tabs>
        <w:spacing w:line="216" w:lineRule="exact"/>
        <w:ind w:right="137" w:hanging="283"/>
        <w:rPr>
          <w:sz w:val="18"/>
        </w:rPr>
      </w:pPr>
      <w:r w:rsidRPr="00244E72">
        <w:rPr>
          <w:sz w:val="18"/>
        </w:rPr>
        <w:t xml:space="preserve">Nowak WN, </w:t>
      </w:r>
      <w:proofErr w:type="spellStart"/>
      <w:r w:rsidRPr="00244E72">
        <w:rPr>
          <w:sz w:val="18"/>
        </w:rPr>
        <w:t>Taha</w:t>
      </w:r>
      <w:proofErr w:type="spellEnd"/>
      <w:r w:rsidRPr="00244E72">
        <w:rPr>
          <w:sz w:val="18"/>
        </w:rPr>
        <w:t xml:space="preserve"> H, </w:t>
      </w:r>
      <w:proofErr w:type="spellStart"/>
      <w:r w:rsidRPr="00244E72">
        <w:rPr>
          <w:sz w:val="18"/>
        </w:rPr>
        <w:t>Kachamakova-Trojanowska</w:t>
      </w:r>
      <w:proofErr w:type="spellEnd"/>
      <w:r w:rsidRPr="00244E72">
        <w:rPr>
          <w:sz w:val="18"/>
        </w:rPr>
        <w:t xml:space="preserve"> N, </w:t>
      </w:r>
      <w:proofErr w:type="spellStart"/>
      <w:r w:rsidRPr="00244E72">
        <w:rPr>
          <w:sz w:val="18"/>
        </w:rPr>
        <w:t>Stepniewski</w:t>
      </w:r>
      <w:proofErr w:type="spellEnd"/>
      <w:r w:rsidRPr="00244E72">
        <w:rPr>
          <w:sz w:val="18"/>
        </w:rPr>
        <w:t xml:space="preserve"> J, </w:t>
      </w:r>
      <w:proofErr w:type="spellStart"/>
      <w:r w:rsidRPr="00244E72">
        <w:rPr>
          <w:sz w:val="18"/>
        </w:rPr>
        <w:t>Markiewicz</w:t>
      </w:r>
      <w:proofErr w:type="spellEnd"/>
      <w:r w:rsidRPr="00244E72">
        <w:rPr>
          <w:sz w:val="18"/>
        </w:rPr>
        <w:t xml:space="preserve"> JA, </w:t>
      </w:r>
      <w:proofErr w:type="spellStart"/>
      <w:r w:rsidRPr="00244E72">
        <w:rPr>
          <w:sz w:val="18"/>
        </w:rPr>
        <w:t>Kusienicka</w:t>
      </w:r>
      <w:proofErr w:type="spellEnd"/>
      <w:r w:rsidRPr="00244E72">
        <w:rPr>
          <w:sz w:val="18"/>
        </w:rPr>
        <w:t xml:space="preserve"> A, </w:t>
      </w:r>
      <w:proofErr w:type="spellStart"/>
      <w:r w:rsidRPr="00244E72">
        <w:rPr>
          <w:sz w:val="18"/>
        </w:rPr>
        <w:t>Szade</w:t>
      </w:r>
      <w:proofErr w:type="spellEnd"/>
      <w:r w:rsidRPr="00244E72">
        <w:rPr>
          <w:sz w:val="18"/>
        </w:rPr>
        <w:t xml:space="preserve"> K, </w:t>
      </w:r>
      <w:proofErr w:type="spellStart"/>
      <w:r w:rsidRPr="00244E72">
        <w:rPr>
          <w:sz w:val="18"/>
        </w:rPr>
        <w:t>Szade</w:t>
      </w:r>
      <w:proofErr w:type="spellEnd"/>
      <w:r w:rsidRPr="00244E72">
        <w:rPr>
          <w:sz w:val="18"/>
        </w:rPr>
        <w:t xml:space="preserve"> A, </w:t>
      </w:r>
      <w:proofErr w:type="spellStart"/>
      <w:r w:rsidRPr="00244E72">
        <w:rPr>
          <w:sz w:val="18"/>
        </w:rPr>
        <w:t>Bukowska-Strakova</w:t>
      </w:r>
      <w:proofErr w:type="spellEnd"/>
      <w:r w:rsidRPr="00244E72">
        <w:rPr>
          <w:sz w:val="18"/>
        </w:rPr>
        <w:t xml:space="preserve"> K, </w:t>
      </w:r>
      <w:proofErr w:type="spellStart"/>
      <w:r w:rsidRPr="00244E72">
        <w:rPr>
          <w:sz w:val="18"/>
        </w:rPr>
        <w:t>Hajduk</w:t>
      </w:r>
      <w:proofErr w:type="spellEnd"/>
      <w:r w:rsidRPr="00244E72">
        <w:rPr>
          <w:sz w:val="18"/>
        </w:rPr>
        <w:t xml:space="preserve"> K, </w:t>
      </w:r>
      <w:proofErr w:type="spellStart"/>
      <w:r w:rsidRPr="00244E72">
        <w:rPr>
          <w:sz w:val="18"/>
        </w:rPr>
        <w:t>Klóska</w:t>
      </w:r>
      <w:proofErr w:type="spellEnd"/>
      <w:r w:rsidRPr="00244E72">
        <w:rPr>
          <w:sz w:val="18"/>
        </w:rPr>
        <w:t xml:space="preserve"> D, </w:t>
      </w:r>
      <w:proofErr w:type="spellStart"/>
      <w:r w:rsidRPr="00244E72">
        <w:rPr>
          <w:sz w:val="18"/>
        </w:rPr>
        <w:t>Kopacz</w:t>
      </w:r>
      <w:proofErr w:type="spellEnd"/>
      <w:r w:rsidRPr="00244E72">
        <w:rPr>
          <w:sz w:val="18"/>
        </w:rPr>
        <w:t xml:space="preserve"> A, </w:t>
      </w:r>
      <w:proofErr w:type="spellStart"/>
      <w:r w:rsidRPr="00244E72">
        <w:rPr>
          <w:sz w:val="18"/>
        </w:rPr>
        <w:t>Grochot-Przeczek</w:t>
      </w:r>
      <w:proofErr w:type="spellEnd"/>
      <w:r w:rsidRPr="00244E72">
        <w:rPr>
          <w:sz w:val="18"/>
        </w:rPr>
        <w:t xml:space="preserve"> A, </w:t>
      </w:r>
      <w:proofErr w:type="spellStart"/>
      <w:r w:rsidRPr="00244E72">
        <w:rPr>
          <w:sz w:val="18"/>
        </w:rPr>
        <w:t>Barthenheier</w:t>
      </w:r>
      <w:proofErr w:type="spellEnd"/>
      <w:r w:rsidRPr="00244E72">
        <w:rPr>
          <w:sz w:val="18"/>
        </w:rPr>
        <w:t xml:space="preserve"> K, </w:t>
      </w:r>
      <w:proofErr w:type="spellStart"/>
      <w:r w:rsidRPr="00244E72">
        <w:rPr>
          <w:sz w:val="18"/>
        </w:rPr>
        <w:t>Cauvin</w:t>
      </w:r>
      <w:proofErr w:type="spellEnd"/>
      <w:r w:rsidRPr="00244E72">
        <w:rPr>
          <w:sz w:val="18"/>
        </w:rPr>
        <w:t xml:space="preserve"> C, </w:t>
      </w:r>
      <w:proofErr w:type="spellStart"/>
      <w:r w:rsidRPr="00244E72">
        <w:rPr>
          <w:sz w:val="18"/>
        </w:rPr>
        <w:t>Dulak</w:t>
      </w:r>
      <w:proofErr w:type="spellEnd"/>
      <w:r w:rsidRPr="00244E72">
        <w:rPr>
          <w:sz w:val="18"/>
        </w:rPr>
        <w:t xml:space="preserve"> J, </w:t>
      </w:r>
      <w:proofErr w:type="spellStart"/>
      <w:r w:rsidRPr="00244E72">
        <w:rPr>
          <w:sz w:val="18"/>
        </w:rPr>
        <w:t>Jozkowicz</w:t>
      </w:r>
      <w:proofErr w:type="spellEnd"/>
      <w:r w:rsidRPr="00244E72">
        <w:rPr>
          <w:sz w:val="18"/>
        </w:rPr>
        <w:t xml:space="preserve"> A </w:t>
      </w:r>
      <w:r>
        <w:rPr>
          <w:sz w:val="18"/>
        </w:rPr>
        <w:t>(2017</w:t>
      </w:r>
      <w:r w:rsidR="005973B9">
        <w:rPr>
          <w:sz w:val="18"/>
        </w:rPr>
        <w:t xml:space="preserve">) </w:t>
      </w:r>
      <w:r w:rsidRPr="00244E72">
        <w:rPr>
          <w:sz w:val="18"/>
        </w:rPr>
        <w:t xml:space="preserve">Murine bone marrow mesenchymal stromal cells respond efficiently to oxidative stress despite the low level of </w:t>
      </w:r>
      <w:proofErr w:type="spellStart"/>
      <w:r w:rsidRPr="00244E72">
        <w:rPr>
          <w:sz w:val="18"/>
        </w:rPr>
        <w:t>heme</w:t>
      </w:r>
      <w:proofErr w:type="spellEnd"/>
      <w:r w:rsidRPr="00244E72">
        <w:rPr>
          <w:sz w:val="18"/>
        </w:rPr>
        <w:t xml:space="preserve"> </w:t>
      </w:r>
      <w:proofErr w:type="spellStart"/>
      <w:r w:rsidRPr="00244E72">
        <w:rPr>
          <w:sz w:val="18"/>
        </w:rPr>
        <w:t>oxygenases</w:t>
      </w:r>
      <w:proofErr w:type="spellEnd"/>
      <w:r w:rsidRPr="00244E72">
        <w:rPr>
          <w:sz w:val="18"/>
        </w:rPr>
        <w:t xml:space="preserve"> 1 and 2</w:t>
      </w:r>
      <w:r>
        <w:rPr>
          <w:sz w:val="18"/>
        </w:rPr>
        <w:t xml:space="preserve">, </w:t>
      </w:r>
      <w:proofErr w:type="spellStart"/>
      <w:r w:rsidRPr="00244E72">
        <w:rPr>
          <w:sz w:val="18"/>
        </w:rPr>
        <w:t>Antioxid</w:t>
      </w:r>
      <w:proofErr w:type="spellEnd"/>
      <w:r w:rsidRPr="00244E72">
        <w:rPr>
          <w:sz w:val="18"/>
        </w:rPr>
        <w:t xml:space="preserve"> Redox Signal</w:t>
      </w:r>
      <w:r>
        <w:rPr>
          <w:sz w:val="18"/>
        </w:rPr>
        <w:t>, in press</w:t>
      </w:r>
      <w:r w:rsidR="005973B9">
        <w:rPr>
          <w:sz w:val="18"/>
        </w:rPr>
        <w:t>.</w:t>
      </w:r>
    </w:p>
    <w:p w14:paraId="5D172D2C" w14:textId="77777777" w:rsidR="005973B9" w:rsidRDefault="00244E72" w:rsidP="005973B9">
      <w:pPr>
        <w:pStyle w:val="ListParagraph"/>
        <w:numPr>
          <w:ilvl w:val="0"/>
          <w:numId w:val="3"/>
        </w:numPr>
        <w:tabs>
          <w:tab w:val="left" w:pos="384"/>
        </w:tabs>
        <w:spacing w:line="216" w:lineRule="exact"/>
        <w:ind w:right="138" w:hanging="283"/>
        <w:rPr>
          <w:sz w:val="18"/>
        </w:rPr>
      </w:pPr>
      <w:proofErr w:type="spellStart"/>
      <w:r w:rsidRPr="00244E72">
        <w:rPr>
          <w:sz w:val="18"/>
        </w:rPr>
        <w:t>Langrzyk</w:t>
      </w:r>
      <w:proofErr w:type="spellEnd"/>
      <w:r w:rsidRPr="00244E72">
        <w:rPr>
          <w:sz w:val="18"/>
        </w:rPr>
        <w:t xml:space="preserve"> A, Nowak WN, </w:t>
      </w:r>
      <w:proofErr w:type="spellStart"/>
      <w:r w:rsidRPr="00244E72">
        <w:rPr>
          <w:sz w:val="18"/>
        </w:rPr>
        <w:t>Stępniewski</w:t>
      </w:r>
      <w:proofErr w:type="spellEnd"/>
      <w:r w:rsidRPr="00244E72">
        <w:rPr>
          <w:sz w:val="18"/>
        </w:rPr>
        <w:t xml:space="preserve"> J, </w:t>
      </w:r>
      <w:proofErr w:type="spellStart"/>
      <w:r w:rsidRPr="00244E72">
        <w:rPr>
          <w:sz w:val="18"/>
        </w:rPr>
        <w:t>Jaźwa</w:t>
      </w:r>
      <w:proofErr w:type="spellEnd"/>
      <w:r w:rsidRPr="00244E72">
        <w:rPr>
          <w:sz w:val="18"/>
        </w:rPr>
        <w:t xml:space="preserve"> A, </w:t>
      </w:r>
      <w:proofErr w:type="spellStart"/>
      <w:r w:rsidRPr="00244E72">
        <w:rPr>
          <w:sz w:val="18"/>
        </w:rPr>
        <w:t>Florczyk-Soluch</w:t>
      </w:r>
      <w:proofErr w:type="spellEnd"/>
      <w:r w:rsidRPr="00244E72">
        <w:rPr>
          <w:sz w:val="18"/>
        </w:rPr>
        <w:t xml:space="preserve"> U, </w:t>
      </w:r>
      <w:proofErr w:type="spellStart"/>
      <w:r w:rsidRPr="00244E72">
        <w:rPr>
          <w:sz w:val="18"/>
        </w:rPr>
        <w:t>Józkowicz</w:t>
      </w:r>
      <w:proofErr w:type="spellEnd"/>
      <w:r w:rsidRPr="00244E72">
        <w:rPr>
          <w:sz w:val="18"/>
        </w:rPr>
        <w:t xml:space="preserve"> A, </w:t>
      </w:r>
      <w:proofErr w:type="spellStart"/>
      <w:r w:rsidRPr="00244E72">
        <w:rPr>
          <w:sz w:val="18"/>
        </w:rPr>
        <w:t>Dulak</w:t>
      </w:r>
      <w:proofErr w:type="spellEnd"/>
      <w:r w:rsidRPr="00244E72">
        <w:rPr>
          <w:sz w:val="18"/>
        </w:rPr>
        <w:t xml:space="preserve"> J </w:t>
      </w:r>
      <w:r>
        <w:rPr>
          <w:sz w:val="18"/>
        </w:rPr>
        <w:t>(2017</w:t>
      </w:r>
      <w:r w:rsidR="005973B9">
        <w:rPr>
          <w:sz w:val="18"/>
        </w:rPr>
        <w:t>)</w:t>
      </w:r>
      <w:r>
        <w:rPr>
          <w:sz w:val="18"/>
        </w:rPr>
        <w:t xml:space="preserve"> </w:t>
      </w:r>
      <w:r w:rsidRPr="00244E72">
        <w:rPr>
          <w:sz w:val="18"/>
        </w:rPr>
        <w:t>Critical View on Mesenchymal Stromal Cells in Regenerative Medicine</w:t>
      </w:r>
      <w:r>
        <w:rPr>
          <w:sz w:val="18"/>
        </w:rPr>
        <w:t xml:space="preserve">, </w:t>
      </w:r>
      <w:proofErr w:type="spellStart"/>
      <w:r w:rsidRPr="00244E72">
        <w:rPr>
          <w:sz w:val="18"/>
        </w:rPr>
        <w:t>Antioxid</w:t>
      </w:r>
      <w:proofErr w:type="spellEnd"/>
      <w:r w:rsidRPr="00244E72">
        <w:rPr>
          <w:sz w:val="18"/>
        </w:rPr>
        <w:t xml:space="preserve"> Redox Signal</w:t>
      </w:r>
      <w:r>
        <w:rPr>
          <w:sz w:val="18"/>
        </w:rPr>
        <w:t>, in press</w:t>
      </w:r>
    </w:p>
    <w:p w14:paraId="5D2CE98B" w14:textId="77777777" w:rsidR="005973B9" w:rsidRPr="00244E72" w:rsidRDefault="00244E72" w:rsidP="00244E72">
      <w:pPr>
        <w:pStyle w:val="ListParagraph"/>
        <w:numPr>
          <w:ilvl w:val="0"/>
          <w:numId w:val="3"/>
        </w:numPr>
        <w:tabs>
          <w:tab w:val="left" w:pos="384"/>
        </w:tabs>
        <w:spacing w:before="92" w:line="218" w:lineRule="exact"/>
        <w:ind w:hanging="283"/>
        <w:rPr>
          <w:sz w:val="18"/>
        </w:rPr>
      </w:pPr>
      <w:proofErr w:type="spellStart"/>
      <w:r w:rsidRPr="00244E72">
        <w:rPr>
          <w:sz w:val="18"/>
        </w:rPr>
        <w:t>Januszek</w:t>
      </w:r>
      <w:proofErr w:type="spellEnd"/>
      <w:r w:rsidRPr="00244E72">
        <w:rPr>
          <w:sz w:val="18"/>
        </w:rPr>
        <w:t xml:space="preserve"> R, Mika P, </w:t>
      </w:r>
      <w:proofErr w:type="spellStart"/>
      <w:r w:rsidRPr="00244E72">
        <w:rPr>
          <w:sz w:val="18"/>
        </w:rPr>
        <w:t>Nowobilski</w:t>
      </w:r>
      <w:proofErr w:type="spellEnd"/>
      <w:r w:rsidRPr="00244E72">
        <w:rPr>
          <w:sz w:val="18"/>
        </w:rPr>
        <w:t xml:space="preserve"> R, Nowak W, </w:t>
      </w:r>
      <w:proofErr w:type="spellStart"/>
      <w:r w:rsidRPr="00244E72">
        <w:rPr>
          <w:sz w:val="18"/>
        </w:rPr>
        <w:t>Kusienicka</w:t>
      </w:r>
      <w:proofErr w:type="spellEnd"/>
      <w:r w:rsidRPr="00244E72">
        <w:rPr>
          <w:sz w:val="18"/>
        </w:rPr>
        <w:t xml:space="preserve"> A, </w:t>
      </w:r>
      <w:proofErr w:type="spellStart"/>
      <w:r w:rsidRPr="00244E72">
        <w:rPr>
          <w:sz w:val="18"/>
        </w:rPr>
        <w:t>Klóska</w:t>
      </w:r>
      <w:proofErr w:type="spellEnd"/>
      <w:r w:rsidRPr="00244E72">
        <w:rPr>
          <w:sz w:val="18"/>
        </w:rPr>
        <w:t xml:space="preserve"> D, </w:t>
      </w:r>
      <w:proofErr w:type="spellStart"/>
      <w:r w:rsidRPr="00244E72">
        <w:rPr>
          <w:sz w:val="18"/>
        </w:rPr>
        <w:t>Maga</w:t>
      </w:r>
      <w:proofErr w:type="spellEnd"/>
      <w:r w:rsidRPr="00244E72">
        <w:rPr>
          <w:sz w:val="18"/>
        </w:rPr>
        <w:t xml:space="preserve"> P, </w:t>
      </w:r>
      <w:proofErr w:type="spellStart"/>
      <w:r w:rsidRPr="00244E72">
        <w:rPr>
          <w:sz w:val="18"/>
        </w:rPr>
        <w:t>Niżankowski</w:t>
      </w:r>
      <w:proofErr w:type="spellEnd"/>
      <w:r w:rsidRPr="00244E72">
        <w:rPr>
          <w:sz w:val="18"/>
        </w:rPr>
        <w:t xml:space="preserve"> R </w:t>
      </w:r>
      <w:r>
        <w:rPr>
          <w:sz w:val="18"/>
        </w:rPr>
        <w:t>(2017</w:t>
      </w:r>
      <w:r w:rsidR="005973B9">
        <w:rPr>
          <w:sz w:val="18"/>
        </w:rPr>
        <w:t xml:space="preserve">) </w:t>
      </w:r>
      <w:r w:rsidRPr="00244E72">
        <w:rPr>
          <w:sz w:val="18"/>
        </w:rPr>
        <w:t xml:space="preserve">Soluble </w:t>
      </w:r>
      <w:proofErr w:type="spellStart"/>
      <w:r w:rsidRPr="00244E72">
        <w:rPr>
          <w:sz w:val="18"/>
        </w:rPr>
        <w:t>endoglin</w:t>
      </w:r>
      <w:proofErr w:type="spellEnd"/>
      <w:r w:rsidRPr="00244E72">
        <w:rPr>
          <w:sz w:val="18"/>
        </w:rPr>
        <w:t xml:space="preserve"> as a prognostic factor of the claudication distance improvement in patients with peripheral artery disease undergoing supervised treadmill training program</w:t>
      </w:r>
      <w:r w:rsidR="005973B9" w:rsidRPr="005973B9">
        <w:rPr>
          <w:sz w:val="18"/>
        </w:rPr>
        <w:t xml:space="preserve">. </w:t>
      </w:r>
      <w:r>
        <w:rPr>
          <w:sz w:val="18"/>
        </w:rPr>
        <w:t xml:space="preserve">J Am </w:t>
      </w:r>
      <w:proofErr w:type="spellStart"/>
      <w:r>
        <w:rPr>
          <w:sz w:val="18"/>
        </w:rPr>
        <w:t>Soc</w:t>
      </w:r>
      <w:proofErr w:type="spellEnd"/>
      <w:r>
        <w:rPr>
          <w:sz w:val="18"/>
        </w:rPr>
        <w:t xml:space="preserve"> </w:t>
      </w:r>
      <w:proofErr w:type="spellStart"/>
      <w:r>
        <w:rPr>
          <w:sz w:val="18"/>
        </w:rPr>
        <w:t>Hypertens</w:t>
      </w:r>
      <w:proofErr w:type="spellEnd"/>
      <w:r>
        <w:rPr>
          <w:sz w:val="18"/>
        </w:rPr>
        <w:t>. 11</w:t>
      </w:r>
      <w:r w:rsidRPr="00244E72">
        <w:rPr>
          <w:sz w:val="18"/>
        </w:rPr>
        <w:t>:553-564</w:t>
      </w:r>
      <w:r w:rsidR="005973B9" w:rsidRPr="00244E72">
        <w:t>.</w:t>
      </w:r>
    </w:p>
    <w:p w14:paraId="1F085D4E" w14:textId="77777777" w:rsidR="00244E72" w:rsidRPr="00244E72" w:rsidRDefault="005973B9" w:rsidP="00244E72">
      <w:pPr>
        <w:pStyle w:val="BodyText"/>
        <w:spacing w:before="85" w:line="216" w:lineRule="exact"/>
        <w:ind w:left="383" w:right="138" w:hanging="284"/>
        <w:jc w:val="both"/>
        <w:rPr>
          <w:rFonts w:ascii="Calibri" w:hAnsi="Calibri"/>
          <w:lang w:val="en-GB"/>
        </w:rPr>
      </w:pPr>
      <w:r>
        <w:rPr>
          <w:rFonts w:ascii="Calibri" w:hAnsi="Calibri"/>
        </w:rPr>
        <w:t xml:space="preserve">5. </w:t>
      </w:r>
      <w:proofErr w:type="spellStart"/>
      <w:r w:rsidR="00244E72" w:rsidRPr="00244E72">
        <w:rPr>
          <w:rFonts w:ascii="Calibri" w:hAnsi="Calibri"/>
          <w:lang w:val="en-GB"/>
        </w:rPr>
        <w:t>Kokkinopoulos</w:t>
      </w:r>
      <w:proofErr w:type="spellEnd"/>
      <w:r w:rsidR="00244E72" w:rsidRPr="00244E72">
        <w:rPr>
          <w:rFonts w:ascii="Calibri" w:hAnsi="Calibri"/>
          <w:lang w:val="en-GB"/>
        </w:rPr>
        <w:t xml:space="preserve"> I, Wong MM, Potter CMF, </w:t>
      </w:r>
      <w:proofErr w:type="spellStart"/>
      <w:r w:rsidR="00244E72" w:rsidRPr="00244E72">
        <w:rPr>
          <w:rFonts w:ascii="Calibri" w:hAnsi="Calibri"/>
          <w:lang w:val="en-GB"/>
        </w:rPr>
        <w:t>Xie</w:t>
      </w:r>
      <w:proofErr w:type="spellEnd"/>
      <w:r w:rsidR="00244E72" w:rsidRPr="00244E72">
        <w:rPr>
          <w:rFonts w:ascii="Calibri" w:hAnsi="Calibri"/>
          <w:lang w:val="en-GB"/>
        </w:rPr>
        <w:t xml:space="preserve"> Y, Yu B, Warren DT, Nowak WN, Le Bras A, Ni Z, Zhou C, </w:t>
      </w:r>
      <w:proofErr w:type="spellStart"/>
      <w:r w:rsidR="00244E72" w:rsidRPr="00244E72">
        <w:rPr>
          <w:rFonts w:ascii="Calibri" w:hAnsi="Calibri"/>
          <w:lang w:val="en-GB"/>
        </w:rPr>
        <w:t>Ruan</w:t>
      </w:r>
      <w:proofErr w:type="spellEnd"/>
      <w:r w:rsidR="00244E72" w:rsidRPr="00244E72">
        <w:rPr>
          <w:rFonts w:ascii="Calibri" w:hAnsi="Calibri"/>
          <w:lang w:val="en-GB"/>
        </w:rPr>
        <w:t xml:space="preserve"> X, </w:t>
      </w:r>
      <w:proofErr w:type="spellStart"/>
      <w:r w:rsidR="00244E72" w:rsidRPr="00244E72">
        <w:rPr>
          <w:rFonts w:ascii="Calibri" w:hAnsi="Calibri"/>
          <w:lang w:val="en-GB"/>
        </w:rPr>
        <w:t>Karamariti</w:t>
      </w:r>
      <w:proofErr w:type="spellEnd"/>
      <w:r w:rsidR="00244E72" w:rsidRPr="00244E72">
        <w:rPr>
          <w:rFonts w:ascii="Calibri" w:hAnsi="Calibri"/>
          <w:lang w:val="en-GB"/>
        </w:rPr>
        <w:t xml:space="preserve"> E, Hu Y, Zhang L, Xu Q</w:t>
      </w:r>
      <w:r w:rsidR="00244E72">
        <w:rPr>
          <w:rFonts w:ascii="Calibri" w:hAnsi="Calibri"/>
          <w:lang w:val="en-GB"/>
        </w:rPr>
        <w:t xml:space="preserve"> (2017) </w:t>
      </w:r>
      <w:r w:rsidR="00244E72" w:rsidRPr="00244E72">
        <w:rPr>
          <w:rFonts w:ascii="Calibri" w:hAnsi="Calibri"/>
        </w:rPr>
        <w:t>Adventitial SCA-1+ Progenitor Cell Gene Sequencing Reveals the Mechanisms of Cell Migration in Response to Hyperlipidemia</w:t>
      </w:r>
      <w:r>
        <w:rPr>
          <w:rFonts w:ascii="Calibri" w:hAnsi="Calibri"/>
          <w:spacing w:val="-4"/>
        </w:rPr>
        <w:t xml:space="preserve">. </w:t>
      </w:r>
      <w:r w:rsidR="00244E72" w:rsidRPr="00244E72">
        <w:rPr>
          <w:rFonts w:ascii="Calibri" w:hAnsi="Calibri"/>
          <w:lang w:val="en-GB"/>
        </w:rPr>
        <w:t>Stem Cell Reports</w:t>
      </w:r>
      <w:r w:rsidR="00244E72">
        <w:rPr>
          <w:rFonts w:ascii="Calibri" w:hAnsi="Calibri"/>
          <w:lang w:val="en-GB"/>
        </w:rPr>
        <w:t>. 9:</w:t>
      </w:r>
      <w:r w:rsidR="00244E72" w:rsidRPr="00244E72">
        <w:rPr>
          <w:rFonts w:ascii="Calibri" w:hAnsi="Calibri"/>
          <w:lang w:val="en-GB"/>
        </w:rPr>
        <w:t>681-696</w:t>
      </w:r>
    </w:p>
    <w:p w14:paraId="1EF02AB7" w14:textId="77777777" w:rsidR="005973B9" w:rsidRPr="00244E72" w:rsidRDefault="005973B9" w:rsidP="00244E72">
      <w:pPr>
        <w:pStyle w:val="BodyText"/>
        <w:spacing w:before="85" w:line="216" w:lineRule="exact"/>
        <w:ind w:left="383" w:right="138" w:hanging="284"/>
        <w:jc w:val="both"/>
        <w:rPr>
          <w:rFonts w:ascii="Calibri" w:hAnsi="Calibri"/>
          <w:lang w:val="en-GB"/>
        </w:rPr>
      </w:pPr>
      <w:r>
        <w:rPr>
          <w:rFonts w:ascii="Calibri" w:hAnsi="Calibri"/>
        </w:rPr>
        <w:t>.</w:t>
      </w:r>
      <w:bookmarkStart w:id="0" w:name="_GoBack"/>
      <w:bookmarkEnd w:id="0"/>
    </w:p>
    <w:p w14:paraId="7EA37CDA" w14:textId="77777777" w:rsidR="00AE3E37" w:rsidRPr="008756E6" w:rsidRDefault="00AE3E37" w:rsidP="008756E6">
      <w:pPr>
        <w:tabs>
          <w:tab w:val="left" w:pos="384"/>
        </w:tabs>
        <w:ind w:right="117"/>
      </w:pPr>
    </w:p>
    <w:p w14:paraId="60F9B73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6F7D60F" w14:textId="77777777" w:rsidR="00AE3E37" w:rsidRDefault="00AE3E37">
      <w:pPr>
        <w:pStyle w:val="BodyText"/>
        <w:rPr>
          <w:rFonts w:ascii="Calibri"/>
          <w:sz w:val="20"/>
        </w:rPr>
      </w:pPr>
    </w:p>
    <w:p w14:paraId="4CDBE60C"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1DCB4F79" wp14:editId="1BB49E5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B154A14" w14:textId="77777777" w:rsidR="00AE3E37" w:rsidRDefault="00985E01" w:rsidP="00404E5B">
      <w:pPr>
        <w:spacing w:before="92"/>
        <w:ind w:right="4234"/>
        <w:rPr>
          <w:rFonts w:ascii="Arial"/>
        </w:rPr>
      </w:pPr>
      <w:r w:rsidRPr="009660B3">
        <w:rPr>
          <w:b/>
          <w:i/>
          <w:noProof/>
        </w:rPr>
        <w:lastRenderedPageBreak/>
        <w:drawing>
          <wp:anchor distT="0" distB="0" distL="114300" distR="114300" simplePos="0" relativeHeight="251659264" behindDoc="0" locked="0" layoutInCell="1" allowOverlap="1" wp14:anchorId="2761BC83" wp14:editId="6B89B5E5">
            <wp:simplePos x="0" y="0"/>
            <wp:positionH relativeFrom="column">
              <wp:posOffset>547083</wp:posOffset>
            </wp:positionH>
            <wp:positionV relativeFrom="paragraph">
              <wp:posOffset>-190500</wp:posOffset>
            </wp:positionV>
            <wp:extent cx="633165" cy="813380"/>
            <wp:effectExtent l="25400" t="25400" r="27305" b="25400"/>
            <wp:wrapNone/>
            <wp:docPr id="1" name="Picture 1" descr="../../Biurko%20150928/DSC_0129-PL%20Paszport-35x45%2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urko%20150928/DSC_0129-PL%20Paszport-35x45%20m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3165" cy="813380"/>
                    </a:xfrm>
                    <a:prstGeom prst="rect">
                      <a:avLst/>
                    </a:prstGeom>
                    <a:noFill/>
                    <a:ln>
                      <a:solidFill>
                        <a:schemeClr val="accent1">
                          <a:alpha val="21000"/>
                        </a:schemeClr>
                      </a:solid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8756E6">
        <w:rPr>
          <w:noProof/>
        </w:rPr>
        <w:drawing>
          <wp:inline distT="0" distB="0" distL="0" distR="0" wp14:anchorId="387B208E" wp14:editId="669CC5E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AC7B46F" w14:textId="77777777" w:rsidR="00AE3E37" w:rsidRDefault="00985E01" w:rsidP="00985E01">
      <w:pPr>
        <w:spacing w:before="41" w:line="154" w:lineRule="exact"/>
        <w:ind w:left="213" w:right="231"/>
        <w:jc w:val="both"/>
        <w:rPr>
          <w:rFonts w:ascii="Arial"/>
          <w:sz w:val="14"/>
        </w:rPr>
      </w:pPr>
      <w:r>
        <w:rPr>
          <w:rFonts w:ascii="Arial"/>
          <w:sz w:val="14"/>
        </w:rPr>
        <w:t xml:space="preserve">Witold Norbert Nowak is a biochemist and molecular biologist. He has expertise in isolation and characterisation of human and mouse progenitor cells. In collaboration with </w:t>
      </w:r>
      <w:proofErr w:type="spellStart"/>
      <w:r>
        <w:rPr>
          <w:rFonts w:ascii="Arial"/>
          <w:sz w:val="14"/>
        </w:rPr>
        <w:t>Jagiellonian</w:t>
      </w:r>
      <w:proofErr w:type="spellEnd"/>
      <w:r>
        <w:rPr>
          <w:rFonts w:ascii="Arial"/>
          <w:sz w:val="14"/>
        </w:rPr>
        <w:t xml:space="preserve"> University Medical College, he showed changes in populations of circulating stem and progenitor cells in patients with type 2 diabetes and its complications or in patients with intermittent claudication subjected to a treadmill training. His recent interests focus on the regulation of cellular metabolism in aging blood vessels and during the atherosclerosis progression. </w:t>
      </w:r>
    </w:p>
    <w:p w14:paraId="0A61F7FE" w14:textId="77777777" w:rsidR="00AE3E37" w:rsidRDefault="00A9710C">
      <w:pPr>
        <w:spacing w:before="62"/>
        <w:ind w:left="4217" w:right="4235"/>
        <w:jc w:val="center"/>
        <w:rPr>
          <w:rFonts w:ascii="Arial"/>
          <w:sz w:val="14"/>
        </w:rPr>
      </w:pPr>
      <w:r>
        <w:rPr>
          <w:rFonts w:ascii="Arial"/>
          <w:sz w:val="14"/>
        </w:rPr>
        <w:t xml:space="preserve">Email: </w:t>
      </w:r>
      <w:r w:rsidR="00985E01" w:rsidRPr="00985E01">
        <w:rPr>
          <w:rFonts w:ascii="Arial"/>
          <w:sz w:val="14"/>
          <w:u w:val="single"/>
        </w:rPr>
        <w:t>witold.nowak@uj.edu.pl</w:t>
      </w:r>
    </w:p>
    <w:p w14:paraId="6B7393E0"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050C8257" wp14:editId="4BF1086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FCF8F4" w14:textId="77777777" w:rsidR="00AE3E37" w:rsidRDefault="00AE3E37">
      <w:pPr>
        <w:pStyle w:val="BodyText"/>
        <w:rPr>
          <w:rFonts w:ascii="Arial"/>
          <w:sz w:val="20"/>
        </w:rPr>
      </w:pPr>
    </w:p>
    <w:p w14:paraId="42E776CA" w14:textId="77777777" w:rsidR="00AE3E37" w:rsidRDefault="00AE3E37">
      <w:pPr>
        <w:pStyle w:val="BodyText"/>
        <w:rPr>
          <w:rFonts w:ascii="Arial"/>
          <w:sz w:val="20"/>
        </w:rPr>
      </w:pPr>
    </w:p>
    <w:p w14:paraId="44C50E88" w14:textId="77777777" w:rsidR="00AE3E37" w:rsidRDefault="00AE3E37">
      <w:pPr>
        <w:pStyle w:val="BodyText"/>
        <w:spacing w:before="7"/>
        <w:rPr>
          <w:rFonts w:ascii="Arial"/>
          <w:sz w:val="29"/>
        </w:rPr>
      </w:pPr>
    </w:p>
    <w:p w14:paraId="56CB4781" w14:textId="77777777" w:rsidR="00AE3E37" w:rsidRPr="00B21A57" w:rsidRDefault="00A9710C">
      <w:pPr>
        <w:spacing w:before="39"/>
        <w:ind w:left="100"/>
        <w:rPr>
          <w:rFonts w:ascii="Minion Pro"/>
          <w:b/>
          <w:sz w:val="20"/>
        </w:rPr>
      </w:pPr>
      <w:r w:rsidRPr="00B21A57">
        <w:rPr>
          <w:rFonts w:ascii="Minion Pro"/>
          <w:b/>
          <w:sz w:val="20"/>
        </w:rPr>
        <w:t>Notes/Comments:</w:t>
      </w:r>
    </w:p>
    <w:p w14:paraId="4F83005F" w14:textId="77777777" w:rsidR="00AE3E37" w:rsidRDefault="00AE3E37">
      <w:pPr>
        <w:rPr>
          <w:rFonts w:ascii="Minion Pro"/>
        </w:rPr>
        <w:sectPr w:rsidR="00AE3E37">
          <w:type w:val="continuous"/>
          <w:pgSz w:w="11910" w:h="16840"/>
          <w:pgMar w:top="1740" w:right="600" w:bottom="840" w:left="620" w:header="720" w:footer="720" w:gutter="0"/>
          <w:cols w:space="720"/>
        </w:sectPr>
      </w:pPr>
    </w:p>
    <w:p w14:paraId="6FB2148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239DE" w14:textId="77777777" w:rsidR="00FE3EDD" w:rsidRDefault="00FE3EDD">
      <w:r>
        <w:separator/>
      </w:r>
    </w:p>
  </w:endnote>
  <w:endnote w:type="continuationSeparator" w:id="0">
    <w:p w14:paraId="3FD048A9" w14:textId="77777777" w:rsidR="00FE3EDD" w:rsidRDefault="00FE3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01C02"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2FAC4330" wp14:editId="7E9A58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2A4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134D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AC4330"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1172A4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134D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023ACC2C" wp14:editId="24B75A6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C9A4D"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11F85D3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ACC2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A3C9A4D"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11F85D3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2914C20C" wp14:editId="1C65048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5705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4046C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4C20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495705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4046C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4592B2" w14:textId="77777777" w:rsidR="00FE3EDD" w:rsidRDefault="00FE3EDD">
      <w:r>
        <w:separator/>
      </w:r>
    </w:p>
  </w:footnote>
  <w:footnote w:type="continuationSeparator" w:id="0">
    <w:p w14:paraId="036CA121" w14:textId="77777777" w:rsidR="00FE3EDD" w:rsidRDefault="00FE3ED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F1E24"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2AD48E4A" wp14:editId="37636E4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C65E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48E4A"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A6C65E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7C8B2309" wp14:editId="00CC10C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819C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8E1AE2D"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B230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125819C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8E1AE2D"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0AD4"/>
    <w:rsid w:val="00244E72"/>
    <w:rsid w:val="00292ED9"/>
    <w:rsid w:val="00404E5B"/>
    <w:rsid w:val="00414F7B"/>
    <w:rsid w:val="004355DC"/>
    <w:rsid w:val="004749B4"/>
    <w:rsid w:val="00494130"/>
    <w:rsid w:val="004F3523"/>
    <w:rsid w:val="005973B9"/>
    <w:rsid w:val="005B3A56"/>
    <w:rsid w:val="006060CE"/>
    <w:rsid w:val="00623100"/>
    <w:rsid w:val="0063497F"/>
    <w:rsid w:val="00873DF0"/>
    <w:rsid w:val="008756E6"/>
    <w:rsid w:val="00985E01"/>
    <w:rsid w:val="009B2D44"/>
    <w:rsid w:val="00A07E82"/>
    <w:rsid w:val="00A9710C"/>
    <w:rsid w:val="00AE3E37"/>
    <w:rsid w:val="00B21A57"/>
    <w:rsid w:val="00C33602"/>
    <w:rsid w:val="00CD6F55"/>
    <w:rsid w:val="00DE3104"/>
    <w:rsid w:val="00F72EEA"/>
    <w:rsid w:val="00F84CAE"/>
    <w:rsid w:val="00FE3E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D56F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244E72"/>
    <w:pPr>
      <w:widowControl/>
    </w:pPr>
    <w:rPr>
      <w:rFonts w:ascii="Times New Roman" w:hAnsi="Times New Roman" w:cs="Times New Roman"/>
      <w:sz w:val="24"/>
      <w:szCs w:val="24"/>
      <w:lang w:val="en-GB" w:eastAsia="en-GB"/>
    </w:rPr>
  </w:style>
  <w:style w:type="paragraph" w:styleId="Heading1">
    <w:name w:val="heading 1"/>
    <w:basedOn w:val="Normal"/>
    <w:uiPriority w:val="1"/>
    <w:qFormat/>
    <w:rsid w:val="00CD6F55"/>
    <w:pPr>
      <w:widowControl w:val="0"/>
      <w:spacing w:before="47" w:line="400" w:lineRule="exact"/>
      <w:ind w:left="100"/>
      <w:outlineLvl w:val="0"/>
    </w:pPr>
    <w:rPr>
      <w:rFonts w:ascii="Minion Pro" w:eastAsia="Minion Pro" w:hAnsi="Minion Pro" w:cs="Minion Pro"/>
      <w:b/>
      <w:bCs/>
      <w:sz w:val="36"/>
      <w:szCs w:val="36"/>
      <w:lang w:val="en-US" w:eastAsia="en-US"/>
    </w:rPr>
  </w:style>
  <w:style w:type="paragraph" w:styleId="Heading2">
    <w:name w:val="heading 2"/>
    <w:basedOn w:val="Normal"/>
    <w:uiPriority w:val="1"/>
    <w:qFormat/>
    <w:rsid w:val="00CD6F55"/>
    <w:pPr>
      <w:widowControl w:val="0"/>
      <w:ind w:left="100"/>
      <w:outlineLvl w:val="1"/>
    </w:pPr>
    <w:rPr>
      <w:rFonts w:ascii="Minion Pro" w:eastAsia="Minion Pro" w:hAnsi="Minion Pro" w:cs="Minion Pro"/>
      <w:lang w:val="en-US" w:eastAsia="en-US"/>
    </w:rPr>
  </w:style>
  <w:style w:type="paragraph" w:styleId="Heading3">
    <w:name w:val="heading 3"/>
    <w:basedOn w:val="Normal"/>
    <w:uiPriority w:val="1"/>
    <w:qFormat/>
    <w:rsid w:val="00CD6F55"/>
    <w:pPr>
      <w:widowControl w:val="0"/>
      <w:ind w:left="100"/>
      <w:outlineLvl w:val="2"/>
    </w:pPr>
    <w:rPr>
      <w:rFonts w:ascii="Arial" w:eastAsia="Arial" w:hAnsi="Arial" w:cs="Arial"/>
      <w:b/>
      <w:bCs/>
      <w:sz w:val="20"/>
      <w:szCs w:val="20"/>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pPr>
      <w:widowControl w:val="0"/>
    </w:pPr>
    <w:rPr>
      <w:rFonts w:ascii="Tw Cen MT" w:eastAsia="Tw Cen MT" w:hAnsi="Tw Cen MT" w:cs="Tw Cen MT"/>
      <w:sz w:val="18"/>
      <w:szCs w:val="18"/>
      <w:lang w:val="en-US" w:eastAsia="en-US"/>
    </w:rPr>
  </w:style>
  <w:style w:type="paragraph" w:styleId="ListParagraph">
    <w:name w:val="List Paragraph"/>
    <w:basedOn w:val="Normal"/>
    <w:uiPriority w:val="1"/>
    <w:qFormat/>
    <w:rsid w:val="00CD6F55"/>
    <w:pPr>
      <w:widowControl w:val="0"/>
      <w:spacing w:before="90" w:line="200" w:lineRule="exact"/>
      <w:ind w:left="383" w:hanging="283"/>
      <w:jc w:val="both"/>
    </w:pPr>
    <w:rPr>
      <w:rFonts w:ascii="Calibri" w:eastAsia="Calibri" w:hAnsi="Calibri" w:cs="Calibri"/>
      <w:sz w:val="22"/>
      <w:szCs w:val="22"/>
      <w:lang w:val="en-US" w:eastAsia="en-US"/>
    </w:rPr>
  </w:style>
  <w:style w:type="paragraph" w:customStyle="1" w:styleId="TableParagraph">
    <w:name w:val="Table Paragraph"/>
    <w:basedOn w:val="Normal"/>
    <w:uiPriority w:val="1"/>
    <w:qFormat/>
    <w:rsid w:val="00CD6F55"/>
    <w:pPr>
      <w:widowControl w:val="0"/>
    </w:pPr>
    <w:rPr>
      <w:rFonts w:ascii="Tw Cen MT" w:eastAsia="Tw Cen MT" w:hAnsi="Tw Cen MT" w:cs="Tw Cen MT"/>
      <w:sz w:val="22"/>
      <w:szCs w:val="22"/>
      <w:lang w:val="en-US" w:eastAsia="en-US"/>
    </w:rPr>
  </w:style>
  <w:style w:type="paragraph" w:styleId="Header">
    <w:name w:val="header"/>
    <w:basedOn w:val="Normal"/>
    <w:link w:val="HeaderChar"/>
    <w:uiPriority w:val="99"/>
    <w:unhideWhenUsed/>
    <w:rsid w:val="005B3A56"/>
    <w:pPr>
      <w:widowControl w:val="0"/>
      <w:tabs>
        <w:tab w:val="center" w:pos="4513"/>
        <w:tab w:val="right" w:pos="9026"/>
      </w:tabs>
    </w:pPr>
    <w:rPr>
      <w:rFonts w:ascii="Tw Cen MT" w:eastAsia="Tw Cen MT" w:hAnsi="Tw Cen MT" w:cs="Tw Cen MT"/>
      <w:sz w:val="22"/>
      <w:szCs w:val="22"/>
      <w:lang w:val="en-US" w:eastAsia="en-US"/>
    </w:r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widowControl w:val="0"/>
      <w:tabs>
        <w:tab w:val="center" w:pos="4513"/>
        <w:tab w:val="right" w:pos="9026"/>
      </w:tabs>
    </w:pPr>
    <w:rPr>
      <w:rFonts w:ascii="Tw Cen MT" w:eastAsia="Tw Cen MT" w:hAnsi="Tw Cen MT" w:cs="Tw Cen MT"/>
      <w:sz w:val="22"/>
      <w:szCs w:val="22"/>
      <w:lang w:val="en-US" w:eastAsia="en-US"/>
    </w:r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pPr>
      <w:widowControl w:val="0"/>
    </w:pPr>
    <w:rPr>
      <w:rFonts w:ascii="Tahoma" w:eastAsia="Tw Cen MT" w:hAnsi="Tahoma" w:cs="Tahoma"/>
      <w:sz w:val="16"/>
      <w:szCs w:val="16"/>
      <w:lang w:val="en-US" w:eastAsia="en-US"/>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9288825">
      <w:bodyDiv w:val="1"/>
      <w:marLeft w:val="0"/>
      <w:marRight w:val="0"/>
      <w:marTop w:val="0"/>
      <w:marBottom w:val="0"/>
      <w:divBdr>
        <w:top w:val="none" w:sz="0" w:space="0" w:color="auto"/>
        <w:left w:val="none" w:sz="0" w:space="0" w:color="auto"/>
        <w:bottom w:val="none" w:sz="0" w:space="0" w:color="auto"/>
        <w:right w:val="none" w:sz="0" w:space="0" w:color="auto"/>
      </w:divBdr>
    </w:div>
    <w:div w:id="1385174042">
      <w:bodyDiv w:val="1"/>
      <w:marLeft w:val="0"/>
      <w:marRight w:val="0"/>
      <w:marTop w:val="0"/>
      <w:marBottom w:val="0"/>
      <w:divBdr>
        <w:top w:val="none" w:sz="0" w:space="0" w:color="auto"/>
        <w:left w:val="none" w:sz="0" w:space="0" w:color="auto"/>
        <w:bottom w:val="none" w:sz="0" w:space="0" w:color="auto"/>
        <w:right w:val="none" w:sz="0" w:space="0" w:color="auto"/>
      </w:divBdr>
    </w:div>
    <w:div w:id="13872216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799</Words>
  <Characters>4556</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Nowak, Witold</cp:lastModifiedBy>
  <cp:revision>2</cp:revision>
  <dcterms:created xsi:type="dcterms:W3CDTF">2017-12-01T21:54:00Z</dcterms:created>
  <dcterms:modified xsi:type="dcterms:W3CDTF">2017-12-01T21:54:00Z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