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B8B" w:rsidRPr="001A6B8B" w:rsidRDefault="001A6B8B" w:rsidP="001A6B8B">
      <w:pPr>
        <w:autoSpaceDE w:val="0"/>
        <w:autoSpaceDN w:val="0"/>
        <w:adjustRightInd w:val="0"/>
        <w:spacing w:line="480" w:lineRule="auto"/>
        <w:rPr>
          <w:rFonts w:ascii="Arial" w:hAnsi="Arial" w:cs="Arial" w:hint="eastAsia"/>
          <w:kern w:val="0"/>
          <w:sz w:val="20"/>
          <w:szCs w:val="20"/>
        </w:rPr>
      </w:pPr>
      <w:r w:rsidRPr="00BE673E">
        <w:rPr>
          <w:rFonts w:ascii="Arial" w:hAnsi="Arial" w:cs="Arial"/>
          <w:kern w:val="0"/>
          <w:sz w:val="20"/>
          <w:szCs w:val="20"/>
        </w:rPr>
        <w:t xml:space="preserve">Critical Appraisal of International Guidelines for the </w:t>
      </w:r>
      <w:bookmarkStart w:id="0" w:name="_Hlk495969671"/>
      <w:r w:rsidRPr="00BE673E">
        <w:rPr>
          <w:rFonts w:ascii="Arial" w:hAnsi="Arial" w:cs="Arial"/>
          <w:kern w:val="0"/>
          <w:sz w:val="20"/>
          <w:szCs w:val="20"/>
        </w:rPr>
        <w:t xml:space="preserve">Screening and Treatment of </w:t>
      </w:r>
      <w:bookmarkStart w:id="1" w:name="_Hlk501034242"/>
      <w:r w:rsidRPr="00BE673E">
        <w:rPr>
          <w:rFonts w:ascii="Arial" w:hAnsi="Arial" w:cs="Arial"/>
          <w:kern w:val="0"/>
          <w:sz w:val="20"/>
          <w:szCs w:val="20"/>
        </w:rPr>
        <w:t xml:space="preserve">Asymptomatic </w:t>
      </w:r>
      <w:bookmarkStart w:id="2" w:name="_Hlk495972774"/>
      <w:r w:rsidRPr="00BE673E">
        <w:rPr>
          <w:rFonts w:ascii="Arial" w:hAnsi="Arial" w:cs="Arial"/>
          <w:kern w:val="0"/>
          <w:sz w:val="20"/>
          <w:szCs w:val="20"/>
        </w:rPr>
        <w:t>Periphery Artery Disease</w:t>
      </w:r>
      <w:bookmarkEnd w:id="0"/>
      <w:bookmarkEnd w:id="1"/>
      <w:bookmarkEnd w:id="2"/>
      <w:r w:rsidRPr="00BE673E">
        <w:rPr>
          <w:rFonts w:ascii="Arial" w:hAnsi="Arial" w:cs="Arial"/>
          <w:kern w:val="0"/>
          <w:sz w:val="20"/>
          <w:szCs w:val="20"/>
        </w:rPr>
        <w:t>: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 xml:space="preserve">who </w:t>
      </w:r>
      <w:r w:rsidR="00B8497A">
        <w:rPr>
          <w:rFonts w:ascii="Arial" w:hAnsi="Arial" w:cs="Arial"/>
          <w:kern w:val="0"/>
          <w:sz w:val="20"/>
          <w:szCs w:val="20"/>
        </w:rPr>
        <w:t>decides</w:t>
      </w:r>
      <w:r w:rsidRPr="00BE673E"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the non-evidence corner</w:t>
      </w:r>
    </w:p>
    <w:p w:rsidR="003E4DED" w:rsidRDefault="00AE4A32" w:rsidP="00AE4A32">
      <w:pPr>
        <w:spacing w:line="480" w:lineRule="auto"/>
        <w:rPr>
          <w:rFonts w:ascii="Arial" w:hAnsi="Arial" w:cs="Arial"/>
          <w:sz w:val="20"/>
          <w:szCs w:val="21"/>
        </w:rPr>
      </w:pPr>
      <w:r w:rsidRPr="00AE4A32">
        <w:rPr>
          <w:rFonts w:ascii="Arial" w:hAnsi="Arial" w:cs="Arial" w:hint="eastAsia"/>
          <w:sz w:val="20"/>
        </w:rPr>
        <w:t>Huang Kai,</w:t>
      </w:r>
      <w:r w:rsidRPr="00AE4A32">
        <w:rPr>
          <w:rFonts w:ascii="Arial" w:hAnsi="Arial" w:cs="Arial"/>
          <w:sz w:val="20"/>
        </w:rPr>
        <w:t xml:space="preserve"> MD, </w:t>
      </w:r>
      <w:r w:rsidRPr="00AE4A32">
        <w:rPr>
          <w:rFonts w:ascii="Arial" w:hAnsi="Arial" w:cs="Arial"/>
          <w:sz w:val="20"/>
          <w:szCs w:val="21"/>
        </w:rPr>
        <w:t>Sun Yat-Sen Memorial Hospital,</w:t>
      </w:r>
      <w:r>
        <w:rPr>
          <w:rFonts w:ascii="Arial" w:hAnsi="Arial" w:cs="Arial"/>
          <w:sz w:val="20"/>
          <w:szCs w:val="21"/>
        </w:rPr>
        <w:t xml:space="preserve"> </w:t>
      </w:r>
      <w:r w:rsidRPr="00AE4A32">
        <w:rPr>
          <w:rFonts w:ascii="Arial" w:hAnsi="Arial" w:cs="Arial"/>
          <w:sz w:val="20"/>
          <w:szCs w:val="21"/>
        </w:rPr>
        <w:t>China</w:t>
      </w:r>
    </w:p>
    <w:p w:rsidR="00AE4A32" w:rsidRDefault="00AE4A32" w:rsidP="00AE4A32">
      <w:pPr>
        <w:spacing w:line="480" w:lineRule="auto"/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Chen Qinchang, MD, Sun Yat-sen University, China</w:t>
      </w:r>
      <w:bookmarkStart w:id="3" w:name="_GoBack"/>
      <w:bookmarkEnd w:id="3"/>
    </w:p>
    <w:p w:rsidR="00AE4A32" w:rsidRPr="00FA2CE0" w:rsidRDefault="00AE4A32" w:rsidP="00AE4A32">
      <w:pPr>
        <w:spacing w:line="480" w:lineRule="auto"/>
        <w:rPr>
          <w:rFonts w:ascii="Arial" w:hAnsi="Arial" w:cs="Arial"/>
          <w:b/>
          <w:sz w:val="22"/>
        </w:rPr>
      </w:pPr>
      <w:r w:rsidRPr="00FA2CE0">
        <w:rPr>
          <w:rFonts w:ascii="Arial" w:hAnsi="Arial" w:cs="Arial"/>
          <w:b/>
          <w:sz w:val="22"/>
        </w:rPr>
        <w:t>Abstract</w:t>
      </w:r>
    </w:p>
    <w:p w:rsidR="00CC7C77" w:rsidRPr="00B8497A" w:rsidRDefault="00AE4A32" w:rsidP="00CC7C77">
      <w:pPr>
        <w:spacing w:line="480" w:lineRule="auto"/>
        <w:rPr>
          <w:rFonts w:ascii="Arial" w:hAnsi="Arial" w:cs="Arial" w:hint="eastAsia"/>
          <w:kern w:val="0"/>
          <w:sz w:val="20"/>
          <w:szCs w:val="20"/>
        </w:rPr>
      </w:pPr>
      <w:r w:rsidRPr="00E97D6A">
        <w:rPr>
          <w:rFonts w:ascii="Arial" w:hAnsi="Arial" w:cs="Arial"/>
          <w:b/>
          <w:sz w:val="20"/>
          <w:szCs w:val="20"/>
        </w:rPr>
        <w:t>Statement of the Problem:</w:t>
      </w:r>
      <w:r w:rsidR="00B3675E" w:rsidRPr="00E97D6A">
        <w:rPr>
          <w:rFonts w:ascii="Arial" w:hAnsi="Arial" w:cs="Arial"/>
          <w:kern w:val="0"/>
          <w:sz w:val="20"/>
          <w:szCs w:val="20"/>
        </w:rPr>
        <w:t xml:space="preserve"> </w:t>
      </w:r>
      <w:r w:rsidR="001A6B8B" w:rsidRPr="00E97D6A">
        <w:rPr>
          <w:rFonts w:ascii="Arial" w:hAnsi="Arial" w:cs="Arial"/>
          <w:sz w:val="20"/>
          <w:szCs w:val="20"/>
        </w:rPr>
        <w:t xml:space="preserve">More than 200 million patients have </w:t>
      </w:r>
      <w:r w:rsidR="00CC7C77" w:rsidRPr="00E97D6A">
        <w:rPr>
          <w:rFonts w:ascii="Arial" w:hAnsi="Arial" w:cs="Arial"/>
          <w:kern w:val="0"/>
          <w:sz w:val="20"/>
          <w:szCs w:val="20"/>
        </w:rPr>
        <w:t>periphery artery disease</w:t>
      </w:r>
      <w:r w:rsidR="00CC7C77" w:rsidRPr="00E97D6A">
        <w:rPr>
          <w:rFonts w:ascii="Arial" w:hAnsi="Arial" w:cs="Arial"/>
          <w:sz w:val="20"/>
          <w:szCs w:val="20"/>
        </w:rPr>
        <w:t xml:space="preserve"> (PAD)</w:t>
      </w:r>
      <w:r w:rsidR="001A6B8B" w:rsidRPr="00E97D6A">
        <w:rPr>
          <w:rFonts w:ascii="Arial" w:hAnsi="Arial" w:cs="Arial"/>
          <w:sz w:val="20"/>
          <w:szCs w:val="20"/>
        </w:rPr>
        <w:t xml:space="preserve"> worldwide </w:t>
      </w:r>
      <w:r w:rsidR="00B8497A">
        <w:rPr>
          <w:rFonts w:ascii="Arial" w:hAnsi="Arial" w:cs="Arial"/>
          <w:sz w:val="20"/>
          <w:szCs w:val="20"/>
        </w:rPr>
        <w:t xml:space="preserve">and </w:t>
      </w:r>
      <w:r w:rsidR="00CC7C77" w:rsidRPr="00E97D6A">
        <w:rPr>
          <w:rFonts w:ascii="Arial" w:hAnsi="Arial" w:cs="Arial"/>
          <w:sz w:val="20"/>
          <w:szCs w:val="20"/>
        </w:rPr>
        <w:t xml:space="preserve">the number of asymptomatic PAD patients were several times larger than that in the </w:t>
      </w:r>
      <w:r w:rsidR="00B8497A">
        <w:rPr>
          <w:rFonts w:ascii="Arial" w:hAnsi="Arial" w:cs="Arial"/>
          <w:sz w:val="20"/>
          <w:szCs w:val="20"/>
        </w:rPr>
        <w:t>symptomatic PAD patients</w:t>
      </w:r>
      <w:r w:rsidR="00CC7C77" w:rsidRPr="00E97D6A">
        <w:rPr>
          <w:rFonts w:ascii="Arial" w:hAnsi="Arial" w:cs="Arial"/>
          <w:sz w:val="20"/>
          <w:szCs w:val="20"/>
        </w:rPr>
        <w:t xml:space="preserve">. </w:t>
      </w:r>
      <w:r w:rsidR="00CC7C77" w:rsidRPr="00E97D6A">
        <w:rPr>
          <w:rFonts w:ascii="Arial" w:hAnsi="Arial" w:cs="Arial"/>
          <w:sz w:val="20"/>
          <w:szCs w:val="20"/>
        </w:rPr>
        <w:t>W</w:t>
      </w:r>
      <w:r w:rsidR="00CC7C77" w:rsidRPr="00E97D6A">
        <w:rPr>
          <w:rFonts w:ascii="Arial" w:hAnsi="Arial" w:cs="Arial"/>
          <w:sz w:val="20"/>
          <w:szCs w:val="20"/>
        </w:rPr>
        <w:t>ithout obvious clinical symptoms, asymptomatic PAD have the similar risk of cardiovascular mortality and the mortality is much higher than</w:t>
      </w:r>
      <w:r w:rsidR="00B8497A">
        <w:rPr>
          <w:rFonts w:ascii="Arial" w:hAnsi="Arial" w:cs="Arial"/>
          <w:sz w:val="20"/>
          <w:szCs w:val="20"/>
        </w:rPr>
        <w:t xml:space="preserve"> the health</w:t>
      </w:r>
      <w:r w:rsidR="00CC7C77" w:rsidRPr="00E97D6A">
        <w:rPr>
          <w:rFonts w:ascii="Arial" w:hAnsi="Arial" w:cs="Arial"/>
          <w:sz w:val="20"/>
          <w:szCs w:val="20"/>
        </w:rPr>
        <w:t>.</w:t>
      </w:r>
      <w:r w:rsidR="00CC7C77" w:rsidRPr="00E97D6A">
        <w:rPr>
          <w:rFonts w:ascii="Arial" w:hAnsi="Arial" w:cs="Arial"/>
          <w:kern w:val="0"/>
          <w:sz w:val="20"/>
          <w:szCs w:val="20"/>
        </w:rPr>
        <w:t xml:space="preserve"> Though the asymptomatic PAD was observed with high morbidity and great hazard, sufficient attention has not been paid.</w:t>
      </w:r>
      <w:r w:rsidR="00B8497A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="00CC7C77" w:rsidRPr="00E97D6A">
        <w:rPr>
          <w:rFonts w:ascii="Arial" w:hAnsi="Arial" w:cs="Arial"/>
          <w:sz w:val="20"/>
          <w:szCs w:val="20"/>
        </w:rPr>
        <w:t>W</w:t>
      </w:r>
      <w:r w:rsidR="00CC7C77" w:rsidRPr="00E97D6A">
        <w:rPr>
          <w:rFonts w:ascii="Arial" w:hAnsi="Arial" w:cs="Arial"/>
          <w:sz w:val="20"/>
          <w:szCs w:val="20"/>
        </w:rPr>
        <w:t xml:space="preserve">e aimed to systematically appraise the guidelines on the screening and treatment of asymptomatic PAD and </w:t>
      </w:r>
      <w:r w:rsidR="00CC7C77" w:rsidRPr="00E97D6A">
        <w:rPr>
          <w:rFonts w:ascii="Arial" w:hAnsi="Arial" w:cs="Arial" w:hint="eastAsia"/>
          <w:sz w:val="20"/>
          <w:szCs w:val="20"/>
        </w:rPr>
        <w:t>find</w:t>
      </w:r>
      <w:r w:rsidR="00CC7C77" w:rsidRPr="00E97D6A">
        <w:rPr>
          <w:rFonts w:ascii="Arial" w:hAnsi="Arial" w:cs="Arial"/>
          <w:sz w:val="20"/>
          <w:szCs w:val="20"/>
        </w:rPr>
        <w:t xml:space="preserve"> out the agreements and the different in the recommendations.</w:t>
      </w:r>
    </w:p>
    <w:p w:rsidR="00CC7C77" w:rsidRPr="00E97D6A" w:rsidRDefault="00B3675E" w:rsidP="00CC7C77">
      <w:pPr>
        <w:spacing w:line="480" w:lineRule="auto"/>
        <w:rPr>
          <w:rFonts w:ascii="Arial" w:hAnsi="Arial" w:cs="Arial"/>
          <w:sz w:val="20"/>
          <w:szCs w:val="20"/>
        </w:rPr>
      </w:pPr>
      <w:r w:rsidRPr="00E97D6A">
        <w:rPr>
          <w:rFonts w:ascii="Arial" w:hAnsi="Arial" w:cs="Arial"/>
          <w:b/>
          <w:sz w:val="20"/>
          <w:szCs w:val="20"/>
        </w:rPr>
        <w:t xml:space="preserve">Methodology &amp; Theoretical Orientation: </w:t>
      </w:r>
      <w:r w:rsidR="00CC7C77" w:rsidRPr="00E97D6A">
        <w:rPr>
          <w:rFonts w:ascii="Arial" w:hAnsi="Arial" w:cs="Arial"/>
          <w:sz w:val="20"/>
          <w:szCs w:val="20"/>
        </w:rPr>
        <w:t xml:space="preserve">Clinical guidelines and consensus statements in English to </w:t>
      </w:r>
      <w:r w:rsidR="00B8497A">
        <w:rPr>
          <w:rFonts w:ascii="Arial" w:hAnsi="Arial" w:cs="Arial"/>
          <w:sz w:val="20"/>
          <w:szCs w:val="20"/>
        </w:rPr>
        <w:t>November</w:t>
      </w:r>
      <w:r w:rsidR="00CC7C77" w:rsidRPr="00E97D6A">
        <w:rPr>
          <w:rFonts w:ascii="Arial" w:hAnsi="Arial" w:cs="Arial"/>
          <w:sz w:val="20"/>
          <w:szCs w:val="20"/>
        </w:rPr>
        <w:t xml:space="preserve"> 2017 were searched using MEDLINE, EMBASE and some websites of guideline organizations. Three reviewers appraised the quality of the included guidelines by using AGREE II instrument. </w:t>
      </w:r>
      <w:r w:rsidR="00B8497A">
        <w:rPr>
          <w:rFonts w:ascii="Arial" w:hAnsi="Arial" w:cs="Arial"/>
          <w:sz w:val="20"/>
          <w:szCs w:val="20"/>
        </w:rPr>
        <w:t xml:space="preserve">The recommendations were also fully extracted and compared. </w:t>
      </w:r>
    </w:p>
    <w:p w:rsidR="00CC7C77" w:rsidRPr="00E97D6A" w:rsidRDefault="00B3675E" w:rsidP="00B3675E">
      <w:pPr>
        <w:spacing w:line="480" w:lineRule="auto"/>
        <w:rPr>
          <w:rFonts w:ascii="Arial" w:hAnsi="Arial" w:cs="Arial"/>
          <w:kern w:val="0"/>
          <w:sz w:val="20"/>
          <w:szCs w:val="20"/>
        </w:rPr>
      </w:pPr>
      <w:r w:rsidRPr="00E97D6A">
        <w:rPr>
          <w:rFonts w:ascii="Arial" w:hAnsi="Arial" w:cs="Arial"/>
          <w:b/>
          <w:kern w:val="0"/>
          <w:sz w:val="20"/>
          <w:szCs w:val="20"/>
        </w:rPr>
        <w:t xml:space="preserve">Findings: </w:t>
      </w:r>
      <w:r w:rsidR="00CC7C77" w:rsidRPr="00E97D6A">
        <w:rPr>
          <w:rFonts w:ascii="Arial" w:hAnsi="Arial" w:cs="Arial"/>
          <w:kern w:val="0"/>
          <w:sz w:val="20"/>
          <w:szCs w:val="20"/>
        </w:rPr>
        <w:t>Of</w:t>
      </w:r>
      <w:r w:rsidR="00CC7C77" w:rsidRPr="00E97D6A">
        <w:rPr>
          <w:rFonts w:ascii="Arial" w:hAnsi="Arial" w:cs="Arial"/>
          <w:b/>
          <w:kern w:val="0"/>
          <w:sz w:val="20"/>
          <w:szCs w:val="20"/>
        </w:rPr>
        <w:t xml:space="preserve"> </w:t>
      </w:r>
      <w:r w:rsidR="00CC7C77" w:rsidRPr="00E97D6A">
        <w:rPr>
          <w:rFonts w:ascii="Arial" w:hAnsi="Arial" w:cs="Arial" w:hint="cs"/>
          <w:sz w:val="20"/>
          <w:szCs w:val="20"/>
        </w:rPr>
        <w:t>3</w:t>
      </w:r>
      <w:r w:rsidR="00CC7C77" w:rsidRPr="00E97D6A">
        <w:rPr>
          <w:rFonts w:ascii="Arial" w:hAnsi="Arial" w:cs="Arial"/>
          <w:sz w:val="20"/>
          <w:szCs w:val="20"/>
        </w:rPr>
        <w:t xml:space="preserve">245 </w:t>
      </w:r>
      <w:r w:rsidR="00CC7C77" w:rsidRPr="00E97D6A">
        <w:rPr>
          <w:rFonts w:ascii="Arial" w:hAnsi="Arial" w:cs="Arial" w:hint="eastAsia"/>
          <w:sz w:val="20"/>
          <w:szCs w:val="20"/>
        </w:rPr>
        <w:t>citation</w:t>
      </w:r>
      <w:r w:rsidR="00CC7C77" w:rsidRPr="00E97D6A">
        <w:rPr>
          <w:rFonts w:ascii="Arial" w:hAnsi="Arial" w:cs="Arial"/>
          <w:sz w:val="20"/>
          <w:szCs w:val="20"/>
        </w:rPr>
        <w:t>s</w:t>
      </w:r>
      <w:r w:rsidR="00CC7C77" w:rsidRPr="00E97D6A">
        <w:rPr>
          <w:rFonts w:ascii="Arial" w:hAnsi="Arial" w:cs="Arial"/>
          <w:sz w:val="20"/>
          <w:szCs w:val="20"/>
        </w:rPr>
        <w:t xml:space="preserve"> identified, 14 guidelines were included. The AGREE score ranged from </w:t>
      </w:r>
      <w:r w:rsidR="00E97D6A" w:rsidRPr="00E97D6A">
        <w:rPr>
          <w:rFonts w:ascii="Arial" w:hAnsi="Arial" w:cs="Arial"/>
          <w:sz w:val="20"/>
          <w:szCs w:val="20"/>
        </w:rPr>
        <w:t>3</w:t>
      </w:r>
      <w:r w:rsidR="00CC7C77" w:rsidRPr="00E97D6A">
        <w:rPr>
          <w:rFonts w:ascii="Arial" w:hAnsi="Arial" w:cs="Arial"/>
          <w:sz w:val="20"/>
          <w:szCs w:val="20"/>
        </w:rPr>
        <w:t>5</w:t>
      </w:r>
      <w:r w:rsidR="00CC7C77" w:rsidRPr="00B8497A">
        <w:rPr>
          <w:rFonts w:ascii="Arial" w:hAnsi="Arial" w:cs="Arial"/>
          <w:sz w:val="20"/>
          <w:szCs w:val="20"/>
        </w:rPr>
        <w:t>％</w:t>
      </w:r>
      <w:r w:rsidR="00CC7C77" w:rsidRPr="00E97D6A">
        <w:rPr>
          <w:rFonts w:ascii="Arial" w:hAnsi="Arial" w:cs="Arial" w:hint="eastAsia"/>
          <w:sz w:val="20"/>
          <w:szCs w:val="20"/>
        </w:rPr>
        <w:t xml:space="preserve"> </w:t>
      </w:r>
      <w:r w:rsidR="00CC7C77" w:rsidRPr="00E97D6A">
        <w:rPr>
          <w:rFonts w:ascii="Arial" w:hAnsi="Arial" w:cs="Arial"/>
          <w:sz w:val="20"/>
          <w:szCs w:val="20"/>
        </w:rPr>
        <w:t xml:space="preserve">to </w:t>
      </w:r>
      <w:r w:rsidR="003C4C75" w:rsidRPr="00E97D6A">
        <w:rPr>
          <w:rFonts w:ascii="Arial" w:hAnsi="Arial" w:cs="Arial"/>
          <w:sz w:val="20"/>
          <w:szCs w:val="20"/>
        </w:rPr>
        <w:t>75</w:t>
      </w:r>
      <w:r w:rsidR="003C4C75" w:rsidRPr="00B8497A">
        <w:rPr>
          <w:rFonts w:ascii="Arial" w:hAnsi="Arial" w:cs="Arial"/>
          <w:sz w:val="20"/>
          <w:szCs w:val="20"/>
        </w:rPr>
        <w:t>％</w:t>
      </w:r>
      <w:r w:rsidR="003C4C75" w:rsidRPr="00E97D6A">
        <w:rPr>
          <w:rFonts w:ascii="Arial" w:hAnsi="Arial" w:cs="Arial" w:hint="eastAsia"/>
          <w:sz w:val="20"/>
          <w:szCs w:val="20"/>
        </w:rPr>
        <w:t xml:space="preserve"> </w:t>
      </w:r>
      <w:r w:rsidR="003C4C75" w:rsidRPr="00E97D6A">
        <w:rPr>
          <w:rFonts w:ascii="Arial" w:hAnsi="Arial" w:cs="Arial"/>
          <w:sz w:val="20"/>
          <w:szCs w:val="20"/>
        </w:rPr>
        <w:t xml:space="preserve">, </w:t>
      </w:r>
      <w:r w:rsidR="003C4C75" w:rsidRPr="00E97D6A">
        <w:rPr>
          <w:rFonts w:ascii="Arial" w:hAnsi="Arial" w:cs="Arial"/>
          <w:sz w:val="20"/>
          <w:szCs w:val="20"/>
        </w:rPr>
        <w:t>mainly due to poor quality in “rigour of development” domain</w:t>
      </w:r>
      <w:r w:rsidR="003C4C75" w:rsidRPr="00E97D6A">
        <w:rPr>
          <w:rFonts w:ascii="Arial" w:hAnsi="Arial" w:cs="Arial"/>
          <w:sz w:val="20"/>
          <w:szCs w:val="20"/>
        </w:rPr>
        <w:t xml:space="preserve"> and “</w:t>
      </w:r>
      <w:r w:rsidR="003C4C75" w:rsidRPr="00E97D6A">
        <w:rPr>
          <w:rFonts w:ascii="Arial" w:hAnsi="Arial" w:cs="Arial"/>
          <w:sz w:val="20"/>
          <w:szCs w:val="20"/>
        </w:rPr>
        <w:t>.</w:t>
      </w:r>
      <w:r w:rsidR="003C4C75" w:rsidRPr="00E97D6A">
        <w:rPr>
          <w:sz w:val="20"/>
          <w:szCs w:val="20"/>
        </w:rPr>
        <w:t xml:space="preserve"> </w:t>
      </w:r>
      <w:r w:rsidR="003C4C75" w:rsidRPr="00E97D6A">
        <w:rPr>
          <w:rFonts w:ascii="Arial" w:hAnsi="Arial" w:cs="Arial"/>
          <w:sz w:val="20"/>
          <w:szCs w:val="20"/>
        </w:rPr>
        <w:t>Editorial Independence” domain. For screening, 10 guidelines contained the recommendations, among which, 8 supported, one oppose</w:t>
      </w:r>
      <w:r w:rsidR="00B8497A">
        <w:rPr>
          <w:rFonts w:ascii="Arial" w:hAnsi="Arial" w:cs="Arial"/>
          <w:sz w:val="20"/>
          <w:szCs w:val="20"/>
        </w:rPr>
        <w:t>d</w:t>
      </w:r>
      <w:r w:rsidR="003C4C75" w:rsidRPr="00E97D6A">
        <w:rPr>
          <w:rFonts w:ascii="Arial" w:hAnsi="Arial" w:cs="Arial"/>
          <w:sz w:val="20"/>
          <w:szCs w:val="20"/>
        </w:rPr>
        <w:t xml:space="preserve"> and one guidelines considered insufficient evidence. For the treatment, most area was blank and the controversy was in the use of antiplatelet therapy. </w:t>
      </w:r>
      <w:r w:rsidR="00E97D6A" w:rsidRPr="00E97D6A">
        <w:rPr>
          <w:rFonts w:ascii="Arial" w:hAnsi="Arial" w:cs="Arial"/>
          <w:sz w:val="20"/>
          <w:szCs w:val="20"/>
        </w:rPr>
        <w:t xml:space="preserve">The </w:t>
      </w:r>
      <w:r w:rsidR="00E97D6A" w:rsidRPr="00E97D6A">
        <w:rPr>
          <w:rFonts w:ascii="Arial" w:hAnsi="Arial" w:cs="Arial"/>
          <w:sz w:val="20"/>
          <w:szCs w:val="20"/>
        </w:rPr>
        <w:lastRenderedPageBreak/>
        <w:t xml:space="preserve">guidelines with financial relationships with pharmaceutical industry or without clear statement for conflicts of interest, seemed to </w:t>
      </w:r>
      <w:r w:rsidR="00B8497A">
        <w:rPr>
          <w:rFonts w:ascii="Arial" w:hAnsi="Arial" w:cs="Arial"/>
          <w:sz w:val="20"/>
          <w:szCs w:val="20"/>
        </w:rPr>
        <w:t xml:space="preserve">be </w:t>
      </w:r>
      <w:r w:rsidR="00E97D6A" w:rsidRPr="00E97D6A">
        <w:rPr>
          <w:rFonts w:ascii="Arial" w:hAnsi="Arial" w:cs="Arial"/>
          <w:sz w:val="20"/>
          <w:szCs w:val="20"/>
        </w:rPr>
        <w:t>more aggressive in the screening or treatment.</w:t>
      </w:r>
    </w:p>
    <w:p w:rsidR="00131C41" w:rsidRPr="00B8497A" w:rsidRDefault="00B3675E" w:rsidP="00B3675E">
      <w:pPr>
        <w:spacing w:line="480" w:lineRule="auto"/>
        <w:rPr>
          <w:rFonts w:ascii="Arial" w:hAnsi="Arial" w:cs="Arial" w:hint="eastAsia"/>
          <w:sz w:val="20"/>
          <w:szCs w:val="20"/>
        </w:rPr>
      </w:pPr>
      <w:r w:rsidRPr="00E97D6A">
        <w:rPr>
          <w:rFonts w:ascii="Arial" w:hAnsi="Arial" w:cs="Arial"/>
          <w:b/>
          <w:sz w:val="20"/>
          <w:szCs w:val="20"/>
        </w:rPr>
        <w:t>Conclusion &amp; Significance:</w:t>
      </w:r>
      <w:r w:rsidRPr="00E97D6A">
        <w:rPr>
          <w:rFonts w:ascii="Arial" w:hAnsi="Arial" w:cs="Arial"/>
          <w:sz w:val="20"/>
          <w:szCs w:val="20"/>
        </w:rPr>
        <w:t xml:space="preserve"> </w:t>
      </w:r>
      <w:r w:rsidR="00E97D6A" w:rsidRPr="00E97D6A">
        <w:rPr>
          <w:rFonts w:ascii="Arial" w:hAnsi="Arial" w:cs="Arial"/>
          <w:sz w:val="20"/>
          <w:szCs w:val="20"/>
        </w:rPr>
        <w:t xml:space="preserve">The quality of most guidelines for the management of asymptomatic </w:t>
      </w:r>
      <w:r w:rsidR="00E97D6A" w:rsidRPr="00E97D6A">
        <w:rPr>
          <w:rFonts w:ascii="Arial" w:hAnsi="Arial" w:cs="Arial"/>
          <w:sz w:val="20"/>
          <w:szCs w:val="20"/>
        </w:rPr>
        <w:t>P</w:t>
      </w:r>
      <w:r w:rsidR="00E97D6A" w:rsidRPr="00E97D6A">
        <w:rPr>
          <w:rFonts w:ascii="Arial" w:hAnsi="Arial" w:cs="Arial"/>
          <w:sz w:val="20"/>
          <w:szCs w:val="20"/>
        </w:rPr>
        <w:t xml:space="preserve">AD should be improved. </w:t>
      </w:r>
      <w:r w:rsidR="00E97D6A" w:rsidRPr="00E97D6A">
        <w:rPr>
          <w:rFonts w:ascii="Arial" w:hAnsi="Arial" w:cs="Arial"/>
          <w:sz w:val="20"/>
          <w:szCs w:val="20"/>
        </w:rPr>
        <w:t>More clinical</w:t>
      </w:r>
      <w:r w:rsidR="00E97D6A" w:rsidRPr="00E97D6A">
        <w:rPr>
          <w:rFonts w:ascii="Arial" w:hAnsi="Arial" w:cs="Arial"/>
          <w:sz w:val="20"/>
          <w:szCs w:val="20"/>
        </w:rPr>
        <w:t xml:space="preserve"> studies</w:t>
      </w:r>
      <w:r w:rsidR="00E97D6A" w:rsidRPr="00E97D6A">
        <w:rPr>
          <w:rFonts w:ascii="Arial" w:hAnsi="Arial" w:cs="Arial"/>
          <w:sz w:val="20"/>
          <w:szCs w:val="20"/>
        </w:rPr>
        <w:t xml:space="preserve"> with high quality</w:t>
      </w:r>
      <w:r w:rsidR="00E97D6A" w:rsidRPr="00E97D6A">
        <w:rPr>
          <w:rFonts w:ascii="Arial" w:hAnsi="Arial" w:cs="Arial"/>
          <w:sz w:val="20"/>
          <w:szCs w:val="20"/>
        </w:rPr>
        <w:t xml:space="preserve"> </w:t>
      </w:r>
      <w:r w:rsidR="00E97D6A" w:rsidRPr="00E97D6A">
        <w:rPr>
          <w:rFonts w:ascii="Arial" w:hAnsi="Arial" w:cs="Arial"/>
          <w:sz w:val="20"/>
          <w:szCs w:val="20"/>
        </w:rPr>
        <w:t xml:space="preserve">are needed to provide the clear-cut evidence to </w:t>
      </w:r>
      <w:r w:rsidR="00B8497A">
        <w:rPr>
          <w:rFonts w:ascii="Arial" w:hAnsi="Arial" w:cs="Arial"/>
          <w:sz w:val="20"/>
          <w:szCs w:val="20"/>
        </w:rPr>
        <w:t>answer</w:t>
      </w:r>
      <w:r w:rsidR="00E97D6A" w:rsidRPr="00E97D6A">
        <w:rPr>
          <w:rFonts w:ascii="Arial" w:hAnsi="Arial" w:cs="Arial"/>
          <w:sz w:val="20"/>
          <w:szCs w:val="20"/>
        </w:rPr>
        <w:t xml:space="preserve"> the controversy and the clear statement for conflicts of interest should be provided. </w:t>
      </w:r>
    </w:p>
    <w:p w:rsidR="00AE4A32" w:rsidRDefault="000A3EEB" w:rsidP="00B3675E">
      <w:pPr>
        <w:spacing w:line="480" w:lineRule="auto"/>
        <w:rPr>
          <w:rFonts w:ascii="Arial" w:hAnsi="Arial" w:cs="Arial"/>
          <w:b/>
          <w:sz w:val="22"/>
        </w:rPr>
      </w:pPr>
      <w:r w:rsidRPr="000A3EEB">
        <w:rPr>
          <w:rFonts w:ascii="Arial" w:hAnsi="Arial" w:cs="Arial" w:hint="eastAsia"/>
          <w:b/>
          <w:sz w:val="22"/>
        </w:rPr>
        <w:t>Recent publications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Kai H, Xixia L, Miaoyun L, et al. Intraoperative nerve monitoring reduces recurrent laryngeal nerve injury in geriatric patients undergoing thyroid surgery[J]. Acta oto-laryngologica, 2017, 137(12): 1275-1280.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Huang K, Luo D, Huang M, et al. Protection of parathyroid function using carbon nanoparticles during thyroid surgery[J]. Otolaryngology--Head and Neck Surgery, 2013, 149(6): 845-850.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sz w:val="20"/>
          <w:szCs w:val="20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Tang Y, Chen J, Huang K, et al. The incidence, risk factors and in-hospital mortality of acute kidney injury in patients after abdominal aortic aneurysm repair surgery[J]. BMC nephrology, 2017, 18(1): 184.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sz w:val="20"/>
          <w:szCs w:val="20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Luo D, Chen H, Lu P, et al. CHI3L1 overexpression is associated with metastasis and is an indicator of poor prognosis in papillary thyroid carcinoma[J]. Cancer Biomarkers, 2017, 18(3): 273-284.</w:t>
      </w:r>
    </w:p>
    <w:p w:rsidR="000A3EEB" w:rsidRPr="00C10741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sz w:val="20"/>
          <w:szCs w:val="20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Jiang Y, Wang M, Huang K, et al. Oxidized low-density lipoprotein induces secretion of interleukin-1β by macrophages via reactive oxygen species-dependent NLRP3 inflammasome activation[J]. Biochemical and biophysical research communications, 2012, </w:t>
      </w: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425(2): 121-126.</w:t>
      </w:r>
    </w:p>
    <w:p w:rsidR="00C10741" w:rsidRDefault="00C10741" w:rsidP="00C10741">
      <w:pPr>
        <w:spacing w:line="480" w:lineRule="auto"/>
        <w:rPr>
          <w:rFonts w:ascii="Arial" w:hAnsi="Arial" w:cs="Arial"/>
          <w:b/>
          <w:sz w:val="22"/>
        </w:rPr>
      </w:pPr>
      <w:r w:rsidRPr="00C10741">
        <w:rPr>
          <w:rFonts w:ascii="Arial" w:hAnsi="Arial" w:cs="Arial" w:hint="eastAsia"/>
          <w:b/>
          <w:sz w:val="22"/>
        </w:rPr>
        <w:t xml:space="preserve">Biography </w:t>
      </w:r>
    </w:p>
    <w:p w:rsidR="00C10741" w:rsidRPr="00B5671B" w:rsidRDefault="00B5671B" w:rsidP="00C10741">
      <w:pPr>
        <w:spacing w:line="480" w:lineRule="auto"/>
        <w:rPr>
          <w:rFonts w:ascii="Arial" w:hAnsi="Arial" w:cs="Arial"/>
          <w:sz w:val="22"/>
        </w:rPr>
      </w:pPr>
      <w:r w:rsidRPr="00B5671B">
        <w:rPr>
          <w:rFonts w:ascii="Arial" w:hAnsi="Arial" w:cs="Arial" w:hint="eastAsia"/>
          <w:sz w:val="20"/>
        </w:rPr>
        <w:t xml:space="preserve">Huang Kai is </w:t>
      </w:r>
      <w:r w:rsidRPr="00B5671B">
        <w:rPr>
          <w:rFonts w:ascii="Arial" w:hAnsi="Arial" w:cs="Arial"/>
          <w:sz w:val="20"/>
        </w:rPr>
        <w:t xml:space="preserve">the </w:t>
      </w:r>
      <w:r w:rsidRPr="00B5671B">
        <w:rPr>
          <w:rFonts w:ascii="Arial" w:hAnsi="Arial" w:cs="Arial" w:hint="eastAsia"/>
          <w:sz w:val="20"/>
        </w:rPr>
        <w:t xml:space="preserve">expert </w:t>
      </w:r>
      <w:r w:rsidRPr="00B5671B">
        <w:rPr>
          <w:rFonts w:ascii="Arial" w:hAnsi="Arial" w:cs="Arial"/>
          <w:sz w:val="20"/>
        </w:rPr>
        <w:t xml:space="preserve">in the surgery of peripheral vascular surgery and thyroid surgery. </w:t>
      </w:r>
    </w:p>
    <w:sectPr w:rsidR="00C10741" w:rsidRPr="00B567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75A" w:rsidRDefault="0046675A" w:rsidP="00AE4A32">
      <w:r>
        <w:separator/>
      </w:r>
    </w:p>
  </w:endnote>
  <w:endnote w:type="continuationSeparator" w:id="0">
    <w:p w:rsidR="0046675A" w:rsidRDefault="0046675A" w:rsidP="00AE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75A" w:rsidRDefault="0046675A" w:rsidP="00AE4A32">
      <w:r>
        <w:separator/>
      </w:r>
    </w:p>
  </w:footnote>
  <w:footnote w:type="continuationSeparator" w:id="0">
    <w:p w:rsidR="0046675A" w:rsidRDefault="0046675A" w:rsidP="00AE4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0A3C"/>
    <w:multiLevelType w:val="hybridMultilevel"/>
    <w:tmpl w:val="7C0070A6"/>
    <w:lvl w:ilvl="0" w:tplc="534AD4D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EE"/>
    <w:rsid w:val="000A3EEB"/>
    <w:rsid w:val="000A6AEE"/>
    <w:rsid w:val="00131C41"/>
    <w:rsid w:val="001A6B8B"/>
    <w:rsid w:val="00381814"/>
    <w:rsid w:val="003C4C75"/>
    <w:rsid w:val="003E4DED"/>
    <w:rsid w:val="0046675A"/>
    <w:rsid w:val="00505661"/>
    <w:rsid w:val="00AE4A32"/>
    <w:rsid w:val="00B3675E"/>
    <w:rsid w:val="00B5671B"/>
    <w:rsid w:val="00B8497A"/>
    <w:rsid w:val="00C10741"/>
    <w:rsid w:val="00CC7C77"/>
    <w:rsid w:val="00E97D6A"/>
    <w:rsid w:val="00FA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51C15"/>
  <w15:chartTrackingRefBased/>
  <w15:docId w15:val="{7C467DC6-B30A-4F68-BB8A-765448AD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A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4A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4A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4A32"/>
    <w:rPr>
      <w:sz w:val="18"/>
      <w:szCs w:val="18"/>
    </w:rPr>
  </w:style>
  <w:style w:type="paragraph" w:styleId="a7">
    <w:name w:val="List Paragraph"/>
    <w:basedOn w:val="a"/>
    <w:uiPriority w:val="34"/>
    <w:qFormat/>
    <w:rsid w:val="000A3EE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</dc:creator>
  <cp:keywords/>
  <dc:description/>
  <cp:lastModifiedBy>CHANG</cp:lastModifiedBy>
  <cp:revision>5</cp:revision>
  <dcterms:created xsi:type="dcterms:W3CDTF">2017-12-19T15:59:00Z</dcterms:created>
  <dcterms:modified xsi:type="dcterms:W3CDTF">2017-12-19T18:03:00Z</dcterms:modified>
</cp:coreProperties>
</file>