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32" w:rsidRPr="00AE4A32" w:rsidRDefault="00AE4A32" w:rsidP="00AE4A32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</w:rPr>
      </w:pPr>
      <w:bookmarkStart w:id="0" w:name="_Hlk499497310"/>
      <w:bookmarkStart w:id="1" w:name="_Hlk498716333"/>
      <w:r w:rsidRPr="00AE4A32">
        <w:rPr>
          <w:rFonts w:ascii="Arial" w:hAnsi="Arial" w:cs="Arial"/>
          <w:kern w:val="0"/>
          <w:sz w:val="22"/>
        </w:rPr>
        <w:t>Admission glucose and ICU mortality in abdominal aortic aneurysm patients:</w:t>
      </w:r>
      <w:bookmarkEnd w:id="0"/>
      <w:r w:rsidRPr="00AE4A32">
        <w:rPr>
          <w:rFonts w:ascii="Arial" w:hAnsi="Arial" w:cs="Arial"/>
          <w:kern w:val="0"/>
          <w:sz w:val="22"/>
        </w:rPr>
        <w:t xml:space="preserve"> a retrospective analysis of the MIMIC-III clinical database</w:t>
      </w:r>
    </w:p>
    <w:bookmarkEnd w:id="1"/>
    <w:p w:rsidR="003E4DED" w:rsidRDefault="00AE4A32" w:rsidP="00AE4A32">
      <w:pPr>
        <w:spacing w:line="480" w:lineRule="auto"/>
        <w:rPr>
          <w:rFonts w:ascii="Arial" w:hAnsi="Arial" w:cs="Arial"/>
          <w:sz w:val="20"/>
          <w:szCs w:val="21"/>
        </w:rPr>
      </w:pPr>
      <w:r w:rsidRPr="00AE4A32">
        <w:rPr>
          <w:rFonts w:ascii="Arial" w:hAnsi="Arial" w:cs="Arial" w:hint="eastAsia"/>
          <w:sz w:val="20"/>
        </w:rPr>
        <w:t>Huang Kai,</w:t>
      </w:r>
      <w:r w:rsidRPr="00AE4A32">
        <w:rPr>
          <w:rFonts w:ascii="Arial" w:hAnsi="Arial" w:cs="Arial"/>
          <w:sz w:val="20"/>
        </w:rPr>
        <w:t xml:space="preserve"> MD, </w:t>
      </w:r>
      <w:r w:rsidRPr="00AE4A32">
        <w:rPr>
          <w:rFonts w:ascii="Arial" w:hAnsi="Arial" w:cs="Arial"/>
          <w:sz w:val="20"/>
          <w:szCs w:val="21"/>
        </w:rPr>
        <w:t>Sun Yat-Sen Memorial Hospital</w:t>
      </w:r>
      <w:r w:rsidRPr="00AE4A32">
        <w:rPr>
          <w:rFonts w:ascii="Arial" w:hAnsi="Arial" w:cs="Arial"/>
          <w:sz w:val="20"/>
          <w:szCs w:val="21"/>
        </w:rPr>
        <w:t>,</w:t>
      </w:r>
      <w:r>
        <w:rPr>
          <w:rFonts w:ascii="Arial" w:hAnsi="Arial" w:cs="Arial"/>
          <w:sz w:val="20"/>
          <w:szCs w:val="21"/>
        </w:rPr>
        <w:t xml:space="preserve"> </w:t>
      </w:r>
      <w:r w:rsidRPr="00AE4A32">
        <w:rPr>
          <w:rFonts w:ascii="Arial" w:hAnsi="Arial" w:cs="Arial"/>
          <w:sz w:val="20"/>
          <w:szCs w:val="21"/>
        </w:rPr>
        <w:t>China</w:t>
      </w:r>
    </w:p>
    <w:p w:rsidR="00AE4A32" w:rsidRDefault="00AE4A32" w:rsidP="00AE4A32">
      <w:pPr>
        <w:spacing w:line="480" w:lineRule="auto"/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Chen Qinchang, MD, Sun Yat-sen University, China</w:t>
      </w:r>
    </w:p>
    <w:p w:rsidR="00AE4A32" w:rsidRPr="00FA2CE0" w:rsidRDefault="00AE4A32" w:rsidP="00AE4A32">
      <w:pPr>
        <w:spacing w:line="480" w:lineRule="auto"/>
        <w:rPr>
          <w:rFonts w:ascii="Arial" w:hAnsi="Arial" w:cs="Arial"/>
          <w:b/>
          <w:sz w:val="22"/>
        </w:rPr>
      </w:pPr>
      <w:r w:rsidRPr="00FA2CE0">
        <w:rPr>
          <w:rFonts w:ascii="Arial" w:hAnsi="Arial" w:cs="Arial"/>
          <w:b/>
          <w:sz w:val="22"/>
        </w:rPr>
        <w:t>Abstract</w:t>
      </w:r>
    </w:p>
    <w:p w:rsidR="00B3675E" w:rsidRPr="00FA2CE0" w:rsidRDefault="00AE4A32" w:rsidP="00B3675E">
      <w:pPr>
        <w:spacing w:line="480" w:lineRule="auto"/>
        <w:rPr>
          <w:rFonts w:ascii="Arial" w:hAnsi="Arial" w:cs="Arial" w:hint="eastAsia"/>
          <w:sz w:val="20"/>
          <w:szCs w:val="20"/>
        </w:rPr>
      </w:pPr>
      <w:r w:rsidRPr="00FA2CE0">
        <w:rPr>
          <w:rFonts w:ascii="Arial" w:hAnsi="Arial" w:cs="Arial"/>
          <w:b/>
        </w:rPr>
        <w:t>Statement of the Problem:</w:t>
      </w:r>
      <w:r w:rsidR="00B3675E" w:rsidRPr="00FA2CE0">
        <w:rPr>
          <w:rFonts w:ascii="Arial" w:hAnsi="Arial" w:cs="Arial"/>
          <w:kern w:val="0"/>
          <w:sz w:val="22"/>
        </w:rPr>
        <w:t xml:space="preserve"> </w:t>
      </w:r>
      <w:r w:rsidRPr="00FA2CE0">
        <w:rPr>
          <w:rFonts w:ascii="Arial" w:hAnsi="Arial" w:cs="Arial"/>
          <w:kern w:val="0"/>
          <w:sz w:val="20"/>
          <w:szCs w:val="20"/>
        </w:rPr>
        <w:t>Abdominal aortic aneurysm (AAA) affects about 10% of men aged 70</w:t>
      </w:r>
      <w:r w:rsidRPr="00FA2CE0">
        <w:rPr>
          <w:rFonts w:ascii="Arial" w:hAnsi="Arial" w:cs="Arial"/>
          <w:kern w:val="0"/>
          <w:sz w:val="20"/>
          <w:szCs w:val="20"/>
        </w:rPr>
        <w:t xml:space="preserve"> and</w:t>
      </w:r>
      <w:r w:rsidRPr="00FA2CE0">
        <w:rPr>
          <w:rFonts w:ascii="Arial" w:hAnsi="Arial" w:cs="Arial"/>
          <w:kern w:val="0"/>
          <w:sz w:val="20"/>
          <w:szCs w:val="20"/>
        </w:rPr>
        <w:t xml:space="preserve"> the mortality can up to 85 to 90%</w:t>
      </w:r>
      <w:r w:rsidRPr="00FA2CE0">
        <w:rPr>
          <w:rFonts w:ascii="Arial" w:hAnsi="Arial" w:cs="Arial"/>
          <w:kern w:val="0"/>
          <w:sz w:val="20"/>
          <w:szCs w:val="20"/>
        </w:rPr>
        <w:t xml:space="preserve"> o</w:t>
      </w:r>
      <w:r w:rsidRPr="00FA2CE0">
        <w:rPr>
          <w:rFonts w:ascii="Arial" w:hAnsi="Arial" w:cs="Arial"/>
          <w:kern w:val="0"/>
          <w:sz w:val="20"/>
          <w:szCs w:val="20"/>
        </w:rPr>
        <w:t>nce it ruptures</w:t>
      </w:r>
      <w:r w:rsidRPr="00FA2CE0">
        <w:rPr>
          <w:rFonts w:ascii="Arial" w:hAnsi="Arial" w:cs="Arial"/>
          <w:kern w:val="0"/>
          <w:sz w:val="20"/>
          <w:szCs w:val="20"/>
        </w:rPr>
        <w:t>.</w:t>
      </w:r>
      <w:r w:rsidR="00B3675E" w:rsidRPr="00FA2CE0">
        <w:rPr>
          <w:rFonts w:ascii="Arial" w:hAnsi="Arial" w:cs="Arial"/>
          <w:kern w:val="0"/>
          <w:sz w:val="20"/>
          <w:szCs w:val="20"/>
        </w:rPr>
        <w:t xml:space="preserve"> </w:t>
      </w:r>
      <w:r w:rsidR="00B3675E" w:rsidRPr="00FA2CE0">
        <w:rPr>
          <w:rFonts w:ascii="Arial" w:hAnsi="Arial" w:cs="Arial"/>
          <w:sz w:val="20"/>
          <w:szCs w:val="20"/>
        </w:rPr>
        <w:t xml:space="preserve">The association between </w:t>
      </w:r>
      <w:r w:rsidR="00B3675E" w:rsidRPr="00FA2CE0">
        <w:rPr>
          <w:rFonts w:ascii="Arial" w:hAnsi="Arial" w:cs="Arial"/>
          <w:kern w:val="0"/>
          <w:sz w:val="20"/>
          <w:szCs w:val="20"/>
        </w:rPr>
        <w:t xml:space="preserve">admission glucose and ICU mortality in </w:t>
      </w:r>
      <w:r w:rsidR="000A3EEB">
        <w:rPr>
          <w:rFonts w:ascii="Arial" w:hAnsi="Arial" w:cs="Arial"/>
          <w:kern w:val="0"/>
          <w:sz w:val="20"/>
          <w:szCs w:val="20"/>
        </w:rPr>
        <w:t xml:space="preserve">AAA </w:t>
      </w:r>
      <w:r w:rsidR="00B3675E" w:rsidRPr="00FA2CE0">
        <w:rPr>
          <w:rFonts w:ascii="Arial" w:hAnsi="Arial" w:cs="Arial"/>
          <w:kern w:val="0"/>
          <w:sz w:val="20"/>
          <w:szCs w:val="20"/>
        </w:rPr>
        <w:t>patients remained controversy in previous studies.</w:t>
      </w:r>
      <w:r w:rsidR="00B3675E" w:rsidRPr="00FA2CE0">
        <w:rPr>
          <w:rFonts w:ascii="Arial" w:hAnsi="Arial" w:cs="Arial"/>
          <w:kern w:val="0"/>
          <w:sz w:val="20"/>
          <w:szCs w:val="20"/>
        </w:rPr>
        <w:t xml:space="preserve"> Though </w:t>
      </w:r>
      <w:r w:rsidR="00B3675E" w:rsidRPr="00FA2CE0">
        <w:rPr>
          <w:rFonts w:ascii="Arial" w:hAnsi="Arial" w:cs="Arial"/>
          <w:sz w:val="20"/>
          <w:szCs w:val="20"/>
        </w:rPr>
        <w:t>h</w:t>
      </w:r>
      <w:r w:rsidR="00B3675E" w:rsidRPr="00FA2CE0">
        <w:rPr>
          <w:rFonts w:ascii="Arial" w:hAnsi="Arial" w:cs="Arial"/>
          <w:color w:val="000000" w:themeColor="text1"/>
          <w:sz w:val="20"/>
          <w:szCs w:val="20"/>
        </w:rPr>
        <w:t>yperglycemia</w:t>
      </w:r>
      <w:r w:rsidR="00B3675E" w:rsidRPr="00FA2CE0">
        <w:rPr>
          <w:rFonts w:ascii="Arial" w:hAnsi="Arial" w:cs="Arial"/>
          <w:color w:val="000000" w:themeColor="text1"/>
          <w:sz w:val="20"/>
          <w:szCs w:val="20"/>
        </w:rPr>
        <w:t xml:space="preserve"> has been reported as the </w:t>
      </w:r>
      <w:r w:rsidR="00B3675E" w:rsidRPr="00FA2CE0">
        <w:rPr>
          <w:rFonts w:ascii="Arial" w:hAnsi="Arial" w:cs="Arial"/>
          <w:kern w:val="0"/>
          <w:sz w:val="20"/>
          <w:szCs w:val="20"/>
        </w:rPr>
        <w:t>important determinant</w:t>
      </w:r>
      <w:r w:rsidR="00B3675E" w:rsidRPr="00FA2CE0">
        <w:rPr>
          <w:rFonts w:ascii="Arial" w:hAnsi="Arial" w:cs="Arial"/>
          <w:kern w:val="0"/>
          <w:sz w:val="20"/>
          <w:szCs w:val="20"/>
        </w:rPr>
        <w:t xml:space="preserve"> of mortality </w:t>
      </w:r>
      <w:r w:rsidR="00B3675E" w:rsidRPr="00FA2CE0">
        <w:rPr>
          <w:rFonts w:ascii="Arial" w:hAnsi="Arial" w:cs="Arial"/>
          <w:kern w:val="0"/>
          <w:sz w:val="20"/>
          <w:szCs w:val="20"/>
        </w:rPr>
        <w:t>for AAA</w:t>
      </w:r>
      <w:r w:rsidR="00B3675E" w:rsidRPr="00FA2CE0">
        <w:rPr>
          <w:rFonts w:ascii="Arial" w:hAnsi="Arial" w:cs="Arial"/>
          <w:kern w:val="0"/>
          <w:sz w:val="20"/>
          <w:szCs w:val="20"/>
        </w:rPr>
        <w:t xml:space="preserve"> in several retrospective studies, </w:t>
      </w:r>
      <w:r w:rsidR="00B3675E" w:rsidRPr="00FA2CE0">
        <w:rPr>
          <w:rFonts w:ascii="Arial" w:hAnsi="Arial" w:cs="Arial"/>
          <w:kern w:val="0"/>
          <w:sz w:val="20"/>
          <w:szCs w:val="20"/>
        </w:rPr>
        <w:t>the significant association was not observed between the trend in AAA mortality and trend in blood glucose from the population in 19 western countries</w:t>
      </w:r>
      <w:r w:rsidR="00FA2CE0" w:rsidRPr="00FA2CE0">
        <w:rPr>
          <w:rFonts w:ascii="Arial" w:hAnsi="Arial" w:cs="Arial"/>
          <w:kern w:val="0"/>
          <w:sz w:val="20"/>
          <w:szCs w:val="20"/>
        </w:rPr>
        <w:t>. W</w:t>
      </w:r>
      <w:r w:rsidR="00FA2CE0" w:rsidRPr="00FA2CE0">
        <w:rPr>
          <w:rFonts w:ascii="Arial" w:hAnsi="Arial" w:cs="Arial"/>
          <w:sz w:val="20"/>
          <w:szCs w:val="20"/>
        </w:rPr>
        <w:t>e aimed to replicate these studies and assessed the effect of h</w:t>
      </w:r>
      <w:r w:rsidR="00FA2CE0" w:rsidRPr="00FA2CE0">
        <w:rPr>
          <w:rFonts w:ascii="Arial" w:hAnsi="Arial" w:cs="Arial"/>
          <w:color w:val="000000" w:themeColor="text1"/>
          <w:sz w:val="20"/>
          <w:szCs w:val="20"/>
        </w:rPr>
        <w:t>yperglycemia</w:t>
      </w:r>
      <w:r w:rsidR="00FA2CE0" w:rsidRPr="00FA2CE0">
        <w:rPr>
          <w:rFonts w:ascii="Arial" w:hAnsi="Arial" w:cs="Arial"/>
          <w:sz w:val="20"/>
          <w:szCs w:val="20"/>
        </w:rPr>
        <w:t xml:space="preserve"> on ICU mortality in patients with AAA. </w:t>
      </w:r>
    </w:p>
    <w:p w:rsidR="00B3675E" w:rsidRPr="00FA2CE0" w:rsidRDefault="00B3675E" w:rsidP="00B3675E">
      <w:pPr>
        <w:spacing w:line="480" w:lineRule="auto"/>
        <w:rPr>
          <w:rFonts w:ascii="Arial" w:hAnsi="Arial" w:cs="Arial"/>
          <w:kern w:val="0"/>
          <w:sz w:val="20"/>
          <w:szCs w:val="20"/>
        </w:rPr>
      </w:pPr>
      <w:r w:rsidRPr="00FA2CE0">
        <w:rPr>
          <w:rFonts w:ascii="Arial" w:hAnsi="Arial" w:cs="Arial"/>
          <w:b/>
        </w:rPr>
        <w:t>Methodology &amp; Theoretical Orientation:</w:t>
      </w:r>
      <w:r w:rsidRPr="00FA2CE0">
        <w:rPr>
          <w:rFonts w:ascii="Arial" w:hAnsi="Arial" w:cs="Arial"/>
          <w:b/>
          <w:sz w:val="22"/>
        </w:rPr>
        <w:t xml:space="preserve"> </w:t>
      </w:r>
      <w:r w:rsidRPr="00FA2CE0">
        <w:rPr>
          <w:rFonts w:ascii="Arial" w:hAnsi="Arial" w:cs="Arial"/>
          <w:sz w:val="20"/>
          <w:szCs w:val="20"/>
        </w:rPr>
        <w:t xml:space="preserve">A retrospective study was conducted in Multiparameter Intelligent Monitoring in Intensive Care III (MIMIC III) database. </w:t>
      </w:r>
      <w:r w:rsidRPr="00FA2CE0">
        <w:rPr>
          <w:rFonts w:ascii="Arial" w:hAnsi="Arial" w:cs="Arial"/>
          <w:kern w:val="0"/>
          <w:sz w:val="20"/>
          <w:szCs w:val="20"/>
        </w:rPr>
        <w:t xml:space="preserve">The potential risk factors were selected from the univariate analysis and applied into the multivariate analysis. Then, the receiver operating characteristic (ROC) curve and the area under the curve (AUC) </w:t>
      </w:r>
      <w:r w:rsidR="00FA2CE0">
        <w:rPr>
          <w:rFonts w:ascii="Arial" w:hAnsi="Arial" w:cs="Arial"/>
          <w:kern w:val="0"/>
          <w:sz w:val="20"/>
          <w:szCs w:val="20"/>
        </w:rPr>
        <w:t>were</w:t>
      </w:r>
      <w:r w:rsidRPr="00FA2CE0">
        <w:rPr>
          <w:rFonts w:ascii="Arial" w:hAnsi="Arial" w:cs="Arial"/>
          <w:kern w:val="0"/>
          <w:sz w:val="20"/>
          <w:szCs w:val="20"/>
        </w:rPr>
        <w:t xml:space="preserve"> used to confirm the power of predictive effect.</w:t>
      </w:r>
    </w:p>
    <w:p w:rsidR="00B3675E" w:rsidRPr="00FA2CE0" w:rsidRDefault="00B3675E" w:rsidP="00B3675E">
      <w:pPr>
        <w:spacing w:line="480" w:lineRule="auto"/>
        <w:rPr>
          <w:rFonts w:ascii="Arial" w:hAnsi="Arial" w:cs="Arial"/>
          <w:sz w:val="20"/>
          <w:szCs w:val="20"/>
        </w:rPr>
      </w:pPr>
      <w:r w:rsidRPr="00FA2CE0">
        <w:rPr>
          <w:rFonts w:ascii="Arial" w:hAnsi="Arial" w:cs="Arial"/>
          <w:b/>
          <w:kern w:val="0"/>
        </w:rPr>
        <w:t xml:space="preserve">Findings: </w:t>
      </w:r>
      <w:r w:rsidRPr="00FA2CE0">
        <w:rPr>
          <w:rFonts w:ascii="Arial" w:hAnsi="Arial" w:cs="Arial"/>
          <w:kern w:val="0"/>
          <w:sz w:val="20"/>
          <w:szCs w:val="20"/>
        </w:rPr>
        <w:t>A total of 225 patients with 32 ICU deaths and 192 patients alive were included.</w:t>
      </w:r>
      <w:r w:rsidR="00FA2CE0">
        <w:rPr>
          <w:rFonts w:ascii="Arial" w:hAnsi="Arial" w:cs="Arial"/>
          <w:sz w:val="20"/>
          <w:szCs w:val="20"/>
        </w:rPr>
        <w:t xml:space="preserve"> A</w:t>
      </w:r>
      <w:r w:rsidRPr="00FA2CE0">
        <w:rPr>
          <w:rFonts w:ascii="Arial" w:hAnsi="Arial" w:cs="Arial"/>
          <w:sz w:val="20"/>
          <w:szCs w:val="20"/>
        </w:rPr>
        <w:t xml:space="preserve">fter the correction of potential confounding factors, such as </w:t>
      </w:r>
      <w:r w:rsidRPr="00FA2CE0">
        <w:rPr>
          <w:rFonts w:ascii="Arial" w:hAnsi="Arial" w:cs="Arial"/>
          <w:kern w:val="0"/>
          <w:sz w:val="20"/>
          <w:szCs w:val="20"/>
        </w:rPr>
        <w:t xml:space="preserve">age, AAA condition, diabetes and so on, </w:t>
      </w:r>
      <w:r w:rsidRPr="00FA2CE0">
        <w:rPr>
          <w:rFonts w:ascii="Arial" w:hAnsi="Arial" w:cs="Arial"/>
          <w:sz w:val="20"/>
          <w:szCs w:val="20"/>
        </w:rPr>
        <w:t xml:space="preserve">admission glucose was </w:t>
      </w:r>
      <w:bookmarkStart w:id="2" w:name="_Hlk497123059"/>
      <w:r w:rsidRPr="00FA2CE0">
        <w:rPr>
          <w:rFonts w:ascii="Arial" w:hAnsi="Arial" w:cs="Arial"/>
          <w:sz w:val="20"/>
          <w:szCs w:val="20"/>
        </w:rPr>
        <w:t xml:space="preserve">significantly associated with the mortality in patients undergoing surgery </w:t>
      </w:r>
      <w:r w:rsidRPr="00FA2CE0">
        <w:rPr>
          <w:rFonts w:ascii="Arial" w:hAnsi="Arial" w:cs="Arial"/>
          <w:kern w:val="0"/>
          <w:sz w:val="20"/>
          <w:szCs w:val="20"/>
        </w:rPr>
        <w:t>(OR 1.009; 95%CI1.002-1.015)</w:t>
      </w:r>
      <w:r w:rsidRPr="00FA2CE0">
        <w:rPr>
          <w:rFonts w:ascii="Arial" w:hAnsi="Arial" w:cs="Arial" w:hint="eastAsia"/>
          <w:sz w:val="20"/>
          <w:szCs w:val="20"/>
        </w:rPr>
        <w:t xml:space="preserve">, </w:t>
      </w:r>
      <w:bookmarkEnd w:id="2"/>
      <w:r w:rsidRPr="00FA2CE0">
        <w:rPr>
          <w:rFonts w:ascii="Arial" w:hAnsi="Arial" w:cs="Arial" w:hint="eastAsia"/>
          <w:sz w:val="20"/>
          <w:szCs w:val="20"/>
        </w:rPr>
        <w:t xml:space="preserve">not observed in </w:t>
      </w:r>
      <w:r w:rsidRPr="00FA2CE0">
        <w:rPr>
          <w:rFonts w:ascii="Arial" w:hAnsi="Arial" w:cs="Arial"/>
          <w:sz w:val="20"/>
          <w:szCs w:val="20"/>
        </w:rPr>
        <w:t xml:space="preserve">non-surgery </w:t>
      </w:r>
      <w:r w:rsidRPr="00FA2CE0">
        <w:rPr>
          <w:rFonts w:ascii="Arial" w:hAnsi="Arial" w:cs="Arial" w:hint="eastAsia"/>
          <w:sz w:val="20"/>
          <w:szCs w:val="20"/>
        </w:rPr>
        <w:t>patients.</w:t>
      </w:r>
      <w:r w:rsidRPr="00FA2CE0">
        <w:rPr>
          <w:sz w:val="20"/>
          <w:szCs w:val="20"/>
        </w:rPr>
        <w:t xml:space="preserve"> </w:t>
      </w:r>
      <w:r w:rsidRPr="00FA2CE0">
        <w:rPr>
          <w:rFonts w:ascii="Arial" w:hAnsi="Arial" w:cs="Arial"/>
          <w:sz w:val="20"/>
          <w:szCs w:val="20"/>
        </w:rPr>
        <w:t xml:space="preserve">Further ROC </w:t>
      </w:r>
      <w:r w:rsidRPr="00FA2CE0">
        <w:rPr>
          <w:rFonts w:ascii="Arial" w:hAnsi="Arial" w:cs="Arial"/>
          <w:sz w:val="20"/>
          <w:szCs w:val="20"/>
        </w:rPr>
        <w:lastRenderedPageBreak/>
        <w:t xml:space="preserve">curve indicated that </w:t>
      </w:r>
      <w:r w:rsidRPr="00FA2CE0">
        <w:rPr>
          <w:rFonts w:ascii="Arial" w:hAnsi="Arial" w:cs="Arial"/>
          <w:color w:val="000000" w:themeColor="text1"/>
          <w:sz w:val="20"/>
          <w:szCs w:val="20"/>
        </w:rPr>
        <w:t xml:space="preserve">glycemic status </w:t>
      </w:r>
      <w:r w:rsidRPr="00FA2CE0">
        <w:rPr>
          <w:rFonts w:ascii="Arial" w:hAnsi="Arial" w:cs="Arial"/>
          <w:sz w:val="20"/>
          <w:szCs w:val="20"/>
        </w:rPr>
        <w:t xml:space="preserve">had the better predictive value for the mortality in the surgery group (AUC=0.6624) than </w:t>
      </w:r>
      <w:bookmarkStart w:id="3" w:name="_Hlk497123426"/>
      <w:r w:rsidRPr="00FA2CE0">
        <w:rPr>
          <w:rFonts w:ascii="Arial" w:hAnsi="Arial" w:cs="Arial"/>
          <w:sz w:val="20"/>
          <w:szCs w:val="20"/>
        </w:rPr>
        <w:t xml:space="preserve">the non-surgery group </w:t>
      </w:r>
      <w:bookmarkEnd w:id="3"/>
      <w:r w:rsidRPr="00FA2CE0">
        <w:rPr>
          <w:rFonts w:ascii="Arial" w:hAnsi="Arial" w:cs="Arial"/>
          <w:sz w:val="20"/>
          <w:szCs w:val="20"/>
        </w:rPr>
        <w:t xml:space="preserve">(AUC=0.4908). The glucose level at 200mg/dl was demonstrated as the best threshold. </w:t>
      </w:r>
    </w:p>
    <w:p w:rsidR="00B3675E" w:rsidRPr="00131C41" w:rsidRDefault="00B3675E" w:rsidP="00B3675E">
      <w:pPr>
        <w:spacing w:line="480" w:lineRule="auto"/>
        <w:rPr>
          <w:rFonts w:ascii="Arial" w:hAnsi="Arial" w:cs="Arial" w:hint="eastAsia"/>
          <w:szCs w:val="21"/>
        </w:rPr>
      </w:pPr>
      <w:r w:rsidRPr="00FA2CE0">
        <w:rPr>
          <w:rFonts w:ascii="Arial" w:hAnsi="Arial" w:cs="Arial"/>
          <w:b/>
        </w:rPr>
        <w:t>Conclusion &amp; Significance:</w:t>
      </w:r>
      <w:r w:rsidRPr="00FA2CE0">
        <w:rPr>
          <w:rFonts w:ascii="Arial" w:hAnsi="Arial" w:cs="Arial"/>
          <w:sz w:val="22"/>
        </w:rPr>
        <w:t xml:space="preserve"> </w:t>
      </w:r>
      <w:r w:rsidRPr="00FA2CE0">
        <w:rPr>
          <w:rFonts w:ascii="Arial" w:hAnsi="Arial" w:cs="Arial"/>
          <w:sz w:val="20"/>
          <w:szCs w:val="20"/>
        </w:rPr>
        <w:t>T</w:t>
      </w:r>
      <w:r w:rsidRPr="00FA2CE0">
        <w:rPr>
          <w:rFonts w:ascii="Arial" w:hAnsi="Arial" w:cs="Arial"/>
          <w:sz w:val="20"/>
          <w:szCs w:val="20"/>
        </w:rPr>
        <w:t>he association between high glucose concentration and poor survival was confirmed in the AAA patients undergoing surgery; but not observed in the non-surgery group, which provided the potential answer to the controversy and highlighted the positive screening and aggressive glucose control before AAA surgery.</w:t>
      </w:r>
      <w:r w:rsidRPr="00FA2CE0">
        <w:rPr>
          <w:rFonts w:ascii="Arial" w:hAnsi="Arial" w:cs="Arial"/>
          <w:sz w:val="22"/>
        </w:rPr>
        <w:t xml:space="preserve"> </w:t>
      </w:r>
      <w:r w:rsidRPr="004302FE">
        <w:rPr>
          <w:rFonts w:ascii="Arial" w:hAnsi="Arial" w:cs="Arial"/>
          <w:szCs w:val="21"/>
        </w:rPr>
        <w:t xml:space="preserve"> </w:t>
      </w:r>
    </w:p>
    <w:p w:rsidR="000A3EEB" w:rsidRPr="000A3EEB" w:rsidRDefault="000A3EEB" w:rsidP="00B3675E">
      <w:pPr>
        <w:spacing w:line="480" w:lineRule="auto"/>
        <w:rPr>
          <w:rFonts w:ascii="Arial" w:hAnsi="Arial" w:cs="Arial" w:hint="eastAsia"/>
          <w:b/>
          <w:kern w:val="0"/>
          <w:sz w:val="22"/>
        </w:rPr>
      </w:pPr>
      <w:r w:rsidRPr="000A3EEB">
        <w:rPr>
          <w:rFonts w:ascii="Arial" w:hAnsi="Arial" w:cs="Arial"/>
          <w:b/>
          <w:kern w:val="0"/>
          <w:sz w:val="22"/>
        </w:rPr>
        <w:t xml:space="preserve">Image </w:t>
      </w:r>
    </w:p>
    <w:p w:rsidR="00B3675E" w:rsidRDefault="00C10741" w:rsidP="00B3675E">
      <w:pPr>
        <w:spacing w:line="480" w:lineRule="auto"/>
        <w:rPr>
          <w:rFonts w:ascii="Arial" w:hAnsi="Arial" w:cs="Arial"/>
          <w:b/>
          <w:kern w:val="0"/>
          <w:sz w:val="20"/>
          <w:szCs w:val="21"/>
        </w:rPr>
      </w:pPr>
      <w:r w:rsidRPr="00C10741">
        <w:rPr>
          <w:rFonts w:ascii="Arial" w:hAnsi="Arial" w:cs="Arial"/>
          <w:b/>
          <w:noProof/>
          <w:kern w:val="0"/>
          <w:sz w:val="20"/>
          <w:szCs w:val="21"/>
        </w:rPr>
        <w:drawing>
          <wp:inline distT="0" distB="0" distL="0" distR="0">
            <wp:extent cx="5274310" cy="5274310"/>
            <wp:effectExtent l="0" t="0" r="2540" b="2540"/>
            <wp:docPr id="1" name="图片 1" descr="F:\杂物房\学习\我的坚果云\会议摘要\PROJ1_11_tbl1_full_ 1_ra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杂物房\学习\我的坚果云\会议摘要\PROJ1_11_tbl1_full_ 1_raw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C41" w:rsidRPr="00B3675E" w:rsidRDefault="00131C41" w:rsidP="00B3675E">
      <w:pPr>
        <w:spacing w:line="480" w:lineRule="auto"/>
        <w:rPr>
          <w:rFonts w:ascii="Arial" w:hAnsi="Arial" w:cs="Arial" w:hint="eastAsia"/>
          <w:b/>
          <w:kern w:val="0"/>
          <w:sz w:val="20"/>
          <w:szCs w:val="21"/>
        </w:rPr>
      </w:pPr>
    </w:p>
    <w:p w:rsidR="00AE4A32" w:rsidRDefault="000A3EEB" w:rsidP="00B3675E">
      <w:pPr>
        <w:spacing w:line="480" w:lineRule="auto"/>
        <w:rPr>
          <w:rFonts w:ascii="Arial" w:hAnsi="Arial" w:cs="Arial"/>
          <w:b/>
          <w:sz w:val="22"/>
        </w:rPr>
      </w:pPr>
      <w:r w:rsidRPr="000A3EEB">
        <w:rPr>
          <w:rFonts w:ascii="Arial" w:hAnsi="Arial" w:cs="Arial" w:hint="eastAsia"/>
          <w:b/>
          <w:sz w:val="22"/>
        </w:rPr>
        <w:lastRenderedPageBreak/>
        <w:t>Recent publications</w:t>
      </w:r>
    </w:p>
    <w:p w:rsidR="000A3EEB" w:rsidRPr="000A3EEB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Kai H, Xixia L, Miaoyun L, et al. Intraoperative nerve monitoring reduces recurrent laryngeal nerve injury in geriatric patients undergoing thyroid surgery[J]. Acta oto-laryngologica, 2017, 137(12): 1275-1280.</w:t>
      </w:r>
    </w:p>
    <w:p w:rsidR="000A3EEB" w:rsidRPr="000A3EEB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Huang K, Luo D, Huang M, et al. Protection of parathyroid function using carbon nanoparticles during thyroid surgery[J]. Otolaryngology--Head and Neck Surgery, 2013, 149(6): 845-850.</w:t>
      </w:r>
    </w:p>
    <w:p w:rsidR="000A3EEB" w:rsidRPr="000A3EEB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sz w:val="20"/>
          <w:szCs w:val="20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Tang Y, Chen J, Huang K, et al. The incidence, risk factors and in-hospital mortality of acute kidney injury in patients after abdominal aortic aneurysm repair surgery[J]. BMC nephrology, 2017, 18(1): 184.</w:t>
      </w:r>
    </w:p>
    <w:p w:rsidR="000A3EEB" w:rsidRPr="000A3EEB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sz w:val="20"/>
          <w:szCs w:val="20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Luo D, Chen H, Lu P, et al. CHI3L1 overexpression is associated with metastasis and is an indicator of poor prognosis in papillary thyroid carcinoma[J]. Cancer Biomarkers, 2017, 18(3): 273-284.</w:t>
      </w:r>
    </w:p>
    <w:p w:rsidR="000A3EEB" w:rsidRPr="00C10741" w:rsidRDefault="000A3EEB" w:rsidP="000A3EEB">
      <w:pPr>
        <w:pStyle w:val="a7"/>
        <w:numPr>
          <w:ilvl w:val="0"/>
          <w:numId w:val="1"/>
        </w:numPr>
        <w:spacing w:line="480" w:lineRule="auto"/>
        <w:ind w:firstLineChars="0"/>
        <w:rPr>
          <w:rFonts w:ascii="Arial" w:hAnsi="Arial" w:cs="Arial"/>
          <w:sz w:val="20"/>
          <w:szCs w:val="20"/>
        </w:rPr>
      </w:pPr>
      <w:r w:rsidRPr="000A3EEB">
        <w:rPr>
          <w:rFonts w:ascii="Arial" w:hAnsi="Arial" w:cs="Arial"/>
          <w:color w:val="222222"/>
          <w:sz w:val="20"/>
          <w:szCs w:val="20"/>
          <w:shd w:val="clear" w:color="auto" w:fill="FFFFFF"/>
        </w:rPr>
        <w:t>Jiang Y, Wang M, Huang K, et al. Oxidized low-density lipoprotein induces secretion of interleukin-1β by macrophages via reactive oxygen species-dependent NLRP3 inflammasome activation[J]. Biochemical and biophysical research communications, 2012, 425(2): 121-126.</w:t>
      </w:r>
    </w:p>
    <w:p w:rsidR="00C10741" w:rsidRDefault="00C10741" w:rsidP="00C10741">
      <w:pPr>
        <w:spacing w:line="480" w:lineRule="auto"/>
        <w:rPr>
          <w:rFonts w:ascii="Arial" w:hAnsi="Arial" w:cs="Arial"/>
          <w:b/>
          <w:sz w:val="22"/>
        </w:rPr>
      </w:pPr>
      <w:r w:rsidRPr="00C10741">
        <w:rPr>
          <w:rFonts w:ascii="Arial" w:hAnsi="Arial" w:cs="Arial" w:hint="eastAsia"/>
          <w:b/>
          <w:sz w:val="22"/>
        </w:rPr>
        <w:t xml:space="preserve">Biography </w:t>
      </w:r>
    </w:p>
    <w:p w:rsidR="00C10741" w:rsidRPr="00B5671B" w:rsidRDefault="00B5671B" w:rsidP="00C10741">
      <w:pPr>
        <w:spacing w:line="480" w:lineRule="auto"/>
        <w:rPr>
          <w:rFonts w:ascii="Arial" w:hAnsi="Arial" w:cs="Arial" w:hint="eastAsia"/>
          <w:sz w:val="22"/>
        </w:rPr>
      </w:pPr>
      <w:r w:rsidRPr="00B5671B">
        <w:rPr>
          <w:rFonts w:ascii="Arial" w:hAnsi="Arial" w:cs="Arial" w:hint="eastAsia"/>
          <w:sz w:val="20"/>
        </w:rPr>
        <w:t xml:space="preserve">Huang Kai is </w:t>
      </w:r>
      <w:r w:rsidRPr="00B5671B">
        <w:rPr>
          <w:rFonts w:ascii="Arial" w:hAnsi="Arial" w:cs="Arial"/>
          <w:sz w:val="20"/>
        </w:rPr>
        <w:t xml:space="preserve">the </w:t>
      </w:r>
      <w:r w:rsidRPr="00B5671B">
        <w:rPr>
          <w:rFonts w:ascii="Arial" w:hAnsi="Arial" w:cs="Arial" w:hint="eastAsia"/>
          <w:sz w:val="20"/>
        </w:rPr>
        <w:t xml:space="preserve">expert </w:t>
      </w:r>
      <w:r w:rsidRPr="00B5671B">
        <w:rPr>
          <w:rFonts w:ascii="Arial" w:hAnsi="Arial" w:cs="Arial"/>
          <w:sz w:val="20"/>
        </w:rPr>
        <w:t>in the surgery of peripheral vascular surgery and thyroid surgery. He spares no eff</w:t>
      </w:r>
      <w:r>
        <w:rPr>
          <w:rFonts w:ascii="Arial" w:hAnsi="Arial" w:cs="Arial"/>
          <w:sz w:val="20"/>
        </w:rPr>
        <w:t>ort</w:t>
      </w:r>
      <w:r w:rsidRPr="00B5671B">
        <w:rPr>
          <w:rFonts w:ascii="Arial" w:hAnsi="Arial" w:cs="Arial"/>
          <w:sz w:val="20"/>
        </w:rPr>
        <w:t xml:space="preserve"> to improve the survival in surgery and find out the potential factor to predict the outcome after surgery, especially the surgery in </w:t>
      </w:r>
      <w:r w:rsidRPr="00B5671B">
        <w:rPr>
          <w:rFonts w:ascii="Arial" w:hAnsi="Arial" w:cs="Arial"/>
          <w:kern w:val="0"/>
          <w:sz w:val="20"/>
        </w:rPr>
        <w:t>abdominal aortic aneurysm</w:t>
      </w:r>
      <w:r w:rsidRPr="00B5671B">
        <w:rPr>
          <w:rFonts w:ascii="Arial" w:hAnsi="Arial" w:cs="Arial"/>
          <w:kern w:val="0"/>
          <w:sz w:val="20"/>
        </w:rPr>
        <w:t>, which is with high mortality.</w:t>
      </w:r>
      <w:r w:rsidRPr="00B5671B">
        <w:rPr>
          <w:rFonts w:ascii="Arial" w:hAnsi="Arial" w:cs="Arial"/>
          <w:kern w:val="0"/>
          <w:sz w:val="22"/>
        </w:rPr>
        <w:t xml:space="preserve"> </w:t>
      </w:r>
      <w:bookmarkStart w:id="4" w:name="_GoBack"/>
      <w:bookmarkEnd w:id="4"/>
    </w:p>
    <w:sectPr w:rsidR="00C10741" w:rsidRPr="00B567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814" w:rsidRDefault="00381814" w:rsidP="00AE4A32">
      <w:r>
        <w:separator/>
      </w:r>
    </w:p>
  </w:endnote>
  <w:endnote w:type="continuationSeparator" w:id="0">
    <w:p w:rsidR="00381814" w:rsidRDefault="00381814" w:rsidP="00AE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814" w:rsidRDefault="00381814" w:rsidP="00AE4A32">
      <w:r>
        <w:separator/>
      </w:r>
    </w:p>
  </w:footnote>
  <w:footnote w:type="continuationSeparator" w:id="0">
    <w:p w:rsidR="00381814" w:rsidRDefault="00381814" w:rsidP="00AE4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0A3C"/>
    <w:multiLevelType w:val="hybridMultilevel"/>
    <w:tmpl w:val="7C0070A6"/>
    <w:lvl w:ilvl="0" w:tplc="534AD4D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EE"/>
    <w:rsid w:val="000A3EEB"/>
    <w:rsid w:val="000A6AEE"/>
    <w:rsid w:val="00131C41"/>
    <w:rsid w:val="00381814"/>
    <w:rsid w:val="003E4DED"/>
    <w:rsid w:val="00505661"/>
    <w:rsid w:val="00AE4A32"/>
    <w:rsid w:val="00B3675E"/>
    <w:rsid w:val="00B5671B"/>
    <w:rsid w:val="00C10741"/>
    <w:rsid w:val="00FA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8175C1"/>
  <w15:chartTrackingRefBased/>
  <w15:docId w15:val="{7C467DC6-B30A-4F68-BB8A-765448AD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A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4A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4A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4A32"/>
    <w:rPr>
      <w:sz w:val="18"/>
      <w:szCs w:val="18"/>
    </w:rPr>
  </w:style>
  <w:style w:type="paragraph" w:styleId="a7">
    <w:name w:val="List Paragraph"/>
    <w:basedOn w:val="a"/>
    <w:uiPriority w:val="34"/>
    <w:qFormat/>
    <w:rsid w:val="000A3EE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</dc:creator>
  <cp:keywords/>
  <dc:description/>
  <cp:lastModifiedBy>CHANG</cp:lastModifiedBy>
  <cp:revision>4</cp:revision>
  <dcterms:created xsi:type="dcterms:W3CDTF">2017-12-19T15:59:00Z</dcterms:created>
  <dcterms:modified xsi:type="dcterms:W3CDTF">2017-12-19T16:52:00Z</dcterms:modified>
</cp:coreProperties>
</file>