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3CA67" w14:textId="77777777" w:rsidR="006A43DC" w:rsidRPr="006A43DC" w:rsidRDefault="006A43DC" w:rsidP="006A43DC">
      <w:pPr>
        <w:pStyle w:val="BodyText"/>
        <w:rPr>
          <w:rFonts w:ascii="Minion Pro" w:hAnsi="Minion Pro" w:cs="Arial"/>
          <w:b/>
          <w:color w:val="0070C0"/>
          <w:sz w:val="36"/>
          <w:szCs w:val="24"/>
          <w:lang w:val="en-GB"/>
        </w:rPr>
      </w:pPr>
      <w:r w:rsidRPr="006A43DC">
        <w:rPr>
          <w:rFonts w:ascii="Minion Pro" w:hAnsi="Minion Pro" w:cs="Arial"/>
          <w:b/>
          <w:color w:val="0070C0"/>
          <w:sz w:val="36"/>
          <w:szCs w:val="24"/>
          <w:lang w:val="en-GB"/>
        </w:rPr>
        <w:t>Congenital absence of inferior vena Cava associated with lower limb and pelvic venous thrombosis.</w:t>
      </w:r>
    </w:p>
    <w:p w14:paraId="32D25552" w14:textId="77777777" w:rsidR="006A43DC" w:rsidRPr="006A43DC" w:rsidRDefault="006A43DC" w:rsidP="006A43DC">
      <w:pPr>
        <w:pStyle w:val="BodyText"/>
        <w:rPr>
          <w:rFonts w:ascii="Arial"/>
          <w:lang w:val="en-GB"/>
        </w:rPr>
      </w:pPr>
      <w:r w:rsidRPr="006A43DC">
        <w:rPr>
          <w:rFonts w:ascii="Arial"/>
          <w:lang w:val="en-GB"/>
        </w:rPr>
        <w:t xml:space="preserve">Sanjay Singh, Consultant Vascular Surgeon, </w:t>
      </w:r>
      <w:bookmarkStart w:id="0" w:name="_Hlk500620188"/>
      <w:bookmarkStart w:id="1" w:name="_Hlk500617414"/>
      <w:r w:rsidRPr="006A43DC">
        <w:rPr>
          <w:rFonts w:ascii="Arial"/>
          <w:lang w:val="en-GB"/>
        </w:rPr>
        <w:t xml:space="preserve">United Lincolnshire Hospitals NHS Trust </w:t>
      </w:r>
      <w:bookmarkEnd w:id="0"/>
    </w:p>
    <w:p w14:paraId="4A200C6C" w14:textId="77777777" w:rsidR="006A43DC" w:rsidRPr="006A43DC" w:rsidRDefault="006A43DC" w:rsidP="006A43DC">
      <w:pPr>
        <w:pStyle w:val="BodyText"/>
        <w:rPr>
          <w:rFonts w:ascii="Arial"/>
          <w:lang w:val="en-GB"/>
        </w:rPr>
      </w:pPr>
      <w:bookmarkStart w:id="2" w:name="_Hlk500621076"/>
      <w:bookmarkEnd w:id="1"/>
      <w:r w:rsidRPr="006A43DC">
        <w:rPr>
          <w:rFonts w:ascii="Arial"/>
          <w:lang w:val="en-GB"/>
        </w:rPr>
        <w:t xml:space="preserve">Asghar Butt, Speciality Doctor, </w:t>
      </w:r>
      <w:bookmarkStart w:id="3" w:name="_Hlk500620437"/>
      <w:r w:rsidRPr="006A43DC">
        <w:rPr>
          <w:rFonts w:ascii="Arial"/>
          <w:lang w:val="en-GB"/>
        </w:rPr>
        <w:t>United Lincolnshire Hospitals NHS Trust</w:t>
      </w:r>
      <w:bookmarkEnd w:id="3"/>
    </w:p>
    <w:bookmarkEnd w:id="2"/>
    <w:p w14:paraId="4A8958B6" w14:textId="77777777" w:rsidR="006A43DC" w:rsidRPr="006A43DC" w:rsidRDefault="006A43DC" w:rsidP="006A43DC">
      <w:pPr>
        <w:pStyle w:val="BodyText"/>
        <w:rPr>
          <w:rFonts w:ascii="Arial"/>
          <w:lang w:val="en-GB"/>
        </w:rPr>
      </w:pPr>
      <w:r w:rsidRPr="006A43DC">
        <w:rPr>
          <w:rFonts w:ascii="Arial"/>
          <w:lang w:val="en-GB"/>
        </w:rPr>
        <w:t>Muhammad Usman Cheema, Speciality Doctor, United Lincolnshire Hospitals NHS Trust</w:t>
      </w:r>
    </w:p>
    <w:p w14:paraId="121D10EB" w14:textId="77777777" w:rsidR="006A43DC" w:rsidRPr="006A43DC" w:rsidRDefault="006A43DC" w:rsidP="006A43DC">
      <w:pPr>
        <w:pStyle w:val="BodyText"/>
        <w:rPr>
          <w:rFonts w:ascii="Arial"/>
          <w:lang w:val="en-GB"/>
        </w:rPr>
      </w:pPr>
      <w:proofErr w:type="spellStart"/>
      <w:r w:rsidRPr="006A43DC">
        <w:rPr>
          <w:rFonts w:ascii="Arial"/>
          <w:lang w:val="en-GB"/>
        </w:rPr>
        <w:t>Jayarama</w:t>
      </w:r>
      <w:proofErr w:type="spellEnd"/>
      <w:r w:rsidRPr="006A43DC">
        <w:rPr>
          <w:rFonts w:ascii="Arial"/>
          <w:lang w:val="en-GB"/>
        </w:rPr>
        <w:t xml:space="preserve"> Mohan, Consultant Vascular Surgeon, United Lincolnshire Hospitals NHS Trust </w:t>
      </w:r>
    </w:p>
    <w:p w14:paraId="2CFAE101" w14:textId="77777777" w:rsidR="00F8611B" w:rsidRDefault="00F8611B" w:rsidP="00F8611B">
      <w:pPr>
        <w:pStyle w:val="BodyText"/>
        <w:rPr>
          <w:rFonts w:ascii="Arial"/>
          <w:sz w:val="20"/>
        </w:rPr>
      </w:pPr>
    </w:p>
    <w:p w14:paraId="2F96A381" w14:textId="77777777" w:rsidR="00F8611B" w:rsidRDefault="00F8611B" w:rsidP="00F8611B">
      <w:pPr>
        <w:pStyle w:val="BodyText"/>
        <w:spacing w:before="3"/>
        <w:rPr>
          <w:rFonts w:ascii="Arial"/>
          <w:sz w:val="21"/>
        </w:rPr>
      </w:pPr>
    </w:p>
    <w:p w14:paraId="410B51EC" w14:textId="77777777" w:rsidR="00F8611B" w:rsidRDefault="00F8611B" w:rsidP="00F8611B">
      <w:pPr>
        <w:rPr>
          <w:rFonts w:ascii="Arial"/>
          <w:sz w:val="21"/>
        </w:rPr>
        <w:sectPr w:rsidR="00F8611B" w:rsidSect="00F8611B">
          <w:headerReference w:type="default" r:id="rId7"/>
          <w:footerReference w:type="default" r:id="rId8"/>
          <w:pgSz w:w="11910" w:h="16840"/>
          <w:pgMar w:top="1740" w:right="600" w:bottom="840" w:left="620" w:header="541" w:footer="642" w:gutter="0"/>
          <w:cols w:space="720"/>
        </w:sectPr>
      </w:pPr>
    </w:p>
    <w:p w14:paraId="6A529E34" w14:textId="0CD042D5" w:rsidR="00F8611B" w:rsidRDefault="00D76983" w:rsidP="00F8611B">
      <w:pPr>
        <w:pStyle w:val="Heading3"/>
        <w:spacing w:before="147"/>
        <w:jc w:val="both"/>
      </w:pPr>
      <w:r>
        <w:rPr>
          <w:color w:val="BF5A14"/>
        </w:rPr>
        <w:t>Abstract</w:t>
      </w:r>
    </w:p>
    <w:p w14:paraId="1484475A" w14:textId="77777777" w:rsidR="006A43DC" w:rsidRPr="006A43DC" w:rsidRDefault="006A43DC" w:rsidP="006A43DC">
      <w:pPr>
        <w:pStyle w:val="Heading3"/>
        <w:spacing w:before="74" w:line="276" w:lineRule="auto"/>
        <w:jc w:val="both"/>
        <w:rPr>
          <w:rFonts w:asciiTheme="minorHAnsi" w:hAnsiTheme="minorHAnsi" w:cstheme="minorHAnsi"/>
          <w:b w:val="0"/>
          <w:sz w:val="18"/>
          <w:szCs w:val="18"/>
          <w:lang w:val="en-GB"/>
        </w:rPr>
      </w:pPr>
      <w:r w:rsidRPr="006A43DC">
        <w:rPr>
          <w:rFonts w:asciiTheme="minorHAnsi" w:hAnsiTheme="minorHAnsi" w:cstheme="minorHAnsi"/>
          <w:b w:val="0"/>
          <w:sz w:val="18"/>
          <w:szCs w:val="18"/>
          <w:lang w:val="en-GB"/>
        </w:rPr>
        <w:t xml:space="preserve">Background: Congenital absence of inferior vena cava (IVCA) is an extremely rare anomaly with an estimated prevalence of 1%. It is recognised to be associated with deep vein thrombosis (DVT) particularly in the young. There can be clues indicating the presence of such an anomaly from a young age. Patients with IVC anomalies usually develop compensatory circulation through the collateral veins; despite the compensatory circulation, the venous drainage of the lower limbs is often insufficient leading to venous stasis and thrombosis. We present two cases of young adult aged 17 and 28 years who presented with groin pain, swelling and lower limb DVT respectively. The clinical features, diagnostic and therapeutic options are discussed. Discussion: IVCA is an uncommon but well recognised anomaly. Most of the patients with IVCA are asymptomatic and detected incidentally during radiological procedures or abdominal surgery. Common symptoms are lower extremity pain, swelling, ulcers, and sometimes nonspecific pain in the lower back and abdomen. The most reliable non-invasive methods for diagnosing IVC anomalies are CT and MRI. There is no role of surgical correction in the management of these patients. There is no consensus regarding the duration of anti-coagulation but it would seem sensible for them to remain on life-long anticoagulation given the on-going risk of further DVT. Conclusion: All vascular surgeons should consider the possibility of IVC anomalies in a young adult presenting with unexplained, extensive, or bilateral DVT. The diagnosis can be challenging and requires detailed imaging studies. Further diagnostic workup and management should be considered for any coagulation abnormalities and long- term anticoagulation. </w:t>
      </w:r>
    </w:p>
    <w:p w14:paraId="741660D4" w14:textId="77777777" w:rsidR="00254B74" w:rsidRDefault="00F8611B" w:rsidP="00D76983">
      <w:pPr>
        <w:pStyle w:val="Heading3"/>
        <w:spacing w:before="74" w:line="276" w:lineRule="auto"/>
        <w:jc w:val="both"/>
        <w:rPr>
          <w:color w:val="BF5A14"/>
        </w:rPr>
      </w:pPr>
      <w:r>
        <w:rPr>
          <w:b w:val="0"/>
        </w:rPr>
        <w:br w:type="column"/>
      </w:r>
      <w:r>
        <w:rPr>
          <w:color w:val="BF5A14"/>
        </w:rPr>
        <w:br/>
      </w:r>
      <w:r w:rsidR="00254B74">
        <w:rPr>
          <w:color w:val="BF5A14"/>
        </w:rPr>
        <w:t>Image</w:t>
      </w:r>
    </w:p>
    <w:p w14:paraId="714C0443" w14:textId="6567D0E6" w:rsidR="00254B74" w:rsidRDefault="00254B74" w:rsidP="00254B74">
      <w:pPr>
        <w:pStyle w:val="Heading3"/>
        <w:spacing w:before="74" w:line="276" w:lineRule="auto"/>
        <w:jc w:val="both"/>
        <w:rPr>
          <w:color w:val="BF5A14"/>
        </w:rPr>
      </w:pPr>
      <w:r>
        <w:rPr>
          <w:noProof/>
          <w:color w:val="BF5A14"/>
        </w:rPr>
        <w:drawing>
          <wp:inline distT="0" distB="0" distL="0" distR="0" wp14:anchorId="1F827AA5" wp14:editId="6D374877">
            <wp:extent cx="2240280" cy="2234535"/>
            <wp:effectExtent l="0" t="0" r="7620" b="0"/>
            <wp:docPr id="1" name="Picture 1"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B41DA6.tmp"/>
                    <pic:cNvPicPr/>
                  </pic:nvPicPr>
                  <pic:blipFill>
                    <a:blip r:embed="rId9">
                      <a:extLst>
                        <a:ext uri="{28A0092B-C50C-407E-A947-70E740481C1C}">
                          <a14:useLocalDpi xmlns:a14="http://schemas.microsoft.com/office/drawing/2010/main" val="0"/>
                        </a:ext>
                      </a:extLst>
                    </a:blip>
                    <a:stretch>
                      <a:fillRect/>
                    </a:stretch>
                  </pic:blipFill>
                  <pic:spPr>
                    <a:xfrm>
                      <a:off x="0" y="0"/>
                      <a:ext cx="2250743" cy="2244971"/>
                    </a:xfrm>
                    <a:prstGeom prst="rect">
                      <a:avLst/>
                    </a:prstGeom>
                  </pic:spPr>
                </pic:pic>
              </a:graphicData>
            </a:graphic>
          </wp:inline>
        </w:drawing>
      </w:r>
    </w:p>
    <w:p w14:paraId="1E7C4D59" w14:textId="2A812107" w:rsidR="00F8611B" w:rsidRPr="00D76983" w:rsidRDefault="00F8611B" w:rsidP="00D76983">
      <w:pPr>
        <w:pStyle w:val="Heading3"/>
        <w:spacing w:before="74" w:line="276" w:lineRule="auto"/>
        <w:jc w:val="both"/>
      </w:pPr>
      <w:r>
        <w:rPr>
          <w:color w:val="BF5A14"/>
        </w:rPr>
        <w:t xml:space="preserve">Recent Publications </w:t>
      </w:r>
    </w:p>
    <w:p w14:paraId="6B2D86F7" w14:textId="527528BB" w:rsidR="006A43DC" w:rsidRPr="006A43DC" w:rsidRDefault="006A43DC" w:rsidP="006A43DC">
      <w:pPr>
        <w:pStyle w:val="ListParagraph"/>
        <w:numPr>
          <w:ilvl w:val="0"/>
          <w:numId w:val="1"/>
        </w:numPr>
        <w:tabs>
          <w:tab w:val="left" w:pos="384"/>
        </w:tabs>
        <w:spacing w:before="103" w:line="216" w:lineRule="exact"/>
        <w:ind w:right="138" w:hanging="283"/>
        <w:rPr>
          <w:sz w:val="18"/>
          <w:szCs w:val="18"/>
        </w:rPr>
      </w:pPr>
      <w:proofErr w:type="spellStart"/>
      <w:r>
        <w:rPr>
          <w:sz w:val="18"/>
          <w:szCs w:val="18"/>
        </w:rPr>
        <w:t>Sakellaris</w:t>
      </w:r>
      <w:proofErr w:type="spellEnd"/>
      <w:r>
        <w:rPr>
          <w:sz w:val="18"/>
          <w:szCs w:val="18"/>
        </w:rPr>
        <w:t xml:space="preserve"> G, </w:t>
      </w:r>
      <w:proofErr w:type="spellStart"/>
      <w:r>
        <w:rPr>
          <w:sz w:val="18"/>
          <w:szCs w:val="18"/>
        </w:rPr>
        <w:t>Tilemis</w:t>
      </w:r>
      <w:proofErr w:type="spellEnd"/>
      <w:r>
        <w:rPr>
          <w:sz w:val="18"/>
          <w:szCs w:val="18"/>
        </w:rPr>
        <w:t xml:space="preserve"> S, </w:t>
      </w:r>
      <w:proofErr w:type="spellStart"/>
      <w:r>
        <w:rPr>
          <w:sz w:val="18"/>
          <w:szCs w:val="18"/>
        </w:rPr>
        <w:t>Papakonstantinou</w:t>
      </w:r>
      <w:proofErr w:type="spellEnd"/>
      <w:r>
        <w:rPr>
          <w:sz w:val="18"/>
          <w:szCs w:val="18"/>
        </w:rPr>
        <w:t xml:space="preserve"> O, </w:t>
      </w:r>
      <w:proofErr w:type="spellStart"/>
      <w:r>
        <w:rPr>
          <w:sz w:val="18"/>
          <w:szCs w:val="18"/>
        </w:rPr>
        <w:t>Bitsori</w:t>
      </w:r>
      <w:proofErr w:type="spellEnd"/>
      <w:r>
        <w:rPr>
          <w:sz w:val="18"/>
          <w:szCs w:val="18"/>
        </w:rPr>
        <w:t xml:space="preserve"> M, </w:t>
      </w:r>
      <w:proofErr w:type="spellStart"/>
      <w:r>
        <w:rPr>
          <w:sz w:val="18"/>
          <w:szCs w:val="18"/>
        </w:rPr>
        <w:t>Tsetis</w:t>
      </w:r>
      <w:proofErr w:type="spellEnd"/>
      <w:r>
        <w:rPr>
          <w:sz w:val="18"/>
          <w:szCs w:val="18"/>
        </w:rPr>
        <w:t xml:space="preserve"> D, </w:t>
      </w:r>
      <w:proofErr w:type="spellStart"/>
      <w:r>
        <w:rPr>
          <w:sz w:val="18"/>
          <w:szCs w:val="18"/>
        </w:rPr>
        <w:t>Charissis</w:t>
      </w:r>
      <w:proofErr w:type="spellEnd"/>
      <w:r>
        <w:rPr>
          <w:sz w:val="18"/>
          <w:szCs w:val="18"/>
        </w:rPr>
        <w:t xml:space="preserve"> G (2005) Deep venous thrombosis in a child associated with an abnormal inferior vena cava. Acta </w:t>
      </w:r>
      <w:proofErr w:type="spellStart"/>
      <w:r>
        <w:rPr>
          <w:sz w:val="18"/>
          <w:szCs w:val="18"/>
        </w:rPr>
        <w:t>Paediatr</w:t>
      </w:r>
      <w:proofErr w:type="spellEnd"/>
      <w:r>
        <w:rPr>
          <w:sz w:val="18"/>
          <w:szCs w:val="18"/>
        </w:rPr>
        <w:t xml:space="preserve"> 94: 242 – 244.</w:t>
      </w:r>
    </w:p>
    <w:p w14:paraId="7A1D7D36" w14:textId="1D573129" w:rsidR="00F8611B" w:rsidRPr="00DD61D6" w:rsidRDefault="006A43DC" w:rsidP="00F8611B">
      <w:pPr>
        <w:pStyle w:val="ListParagraph"/>
        <w:numPr>
          <w:ilvl w:val="0"/>
          <w:numId w:val="1"/>
        </w:numPr>
        <w:tabs>
          <w:tab w:val="left" w:pos="384"/>
        </w:tabs>
        <w:spacing w:line="216" w:lineRule="exact"/>
        <w:ind w:right="137" w:hanging="283"/>
        <w:rPr>
          <w:sz w:val="18"/>
          <w:szCs w:val="18"/>
        </w:rPr>
      </w:pPr>
      <w:r>
        <w:rPr>
          <w:sz w:val="18"/>
          <w:szCs w:val="18"/>
        </w:rPr>
        <w:t xml:space="preserve">Gayer G, </w:t>
      </w:r>
      <w:proofErr w:type="spellStart"/>
      <w:r>
        <w:rPr>
          <w:sz w:val="18"/>
          <w:szCs w:val="18"/>
        </w:rPr>
        <w:t>Luboshitz</w:t>
      </w:r>
      <w:proofErr w:type="spellEnd"/>
      <w:r>
        <w:rPr>
          <w:sz w:val="18"/>
          <w:szCs w:val="18"/>
        </w:rPr>
        <w:t xml:space="preserve"> J, Hertz M, </w:t>
      </w:r>
      <w:proofErr w:type="spellStart"/>
      <w:r>
        <w:rPr>
          <w:sz w:val="18"/>
          <w:szCs w:val="18"/>
        </w:rPr>
        <w:t>Zissin</w:t>
      </w:r>
      <w:proofErr w:type="spellEnd"/>
      <w:r>
        <w:rPr>
          <w:sz w:val="18"/>
          <w:szCs w:val="18"/>
        </w:rPr>
        <w:t xml:space="preserve"> R, et </w:t>
      </w:r>
      <w:r w:rsidR="00C81E6C">
        <w:rPr>
          <w:sz w:val="18"/>
          <w:szCs w:val="18"/>
        </w:rPr>
        <w:t xml:space="preserve">al (2003) Congenital anomalies of the inferior vena cava revealed on CT in patients with deep vein thrombosis. AJR Am J </w:t>
      </w:r>
      <w:proofErr w:type="spellStart"/>
      <w:r w:rsidR="00C81E6C">
        <w:rPr>
          <w:sz w:val="18"/>
          <w:szCs w:val="18"/>
        </w:rPr>
        <w:t>Roentgenol</w:t>
      </w:r>
      <w:proofErr w:type="spellEnd"/>
      <w:r w:rsidR="00C81E6C">
        <w:rPr>
          <w:sz w:val="18"/>
          <w:szCs w:val="18"/>
        </w:rPr>
        <w:t xml:space="preserve"> 180: 729 – 732.</w:t>
      </w:r>
    </w:p>
    <w:p w14:paraId="585973C8" w14:textId="3935A14C" w:rsidR="00F8611B" w:rsidRPr="00DD61D6" w:rsidRDefault="00C81E6C" w:rsidP="00F8611B">
      <w:pPr>
        <w:pStyle w:val="ListParagraph"/>
        <w:numPr>
          <w:ilvl w:val="0"/>
          <w:numId w:val="1"/>
        </w:numPr>
        <w:tabs>
          <w:tab w:val="left" w:pos="384"/>
        </w:tabs>
        <w:spacing w:line="216" w:lineRule="exact"/>
        <w:ind w:right="138" w:hanging="283"/>
        <w:rPr>
          <w:sz w:val="18"/>
          <w:szCs w:val="18"/>
        </w:rPr>
      </w:pPr>
      <w:r>
        <w:rPr>
          <w:sz w:val="18"/>
          <w:szCs w:val="18"/>
        </w:rPr>
        <w:t xml:space="preserve">Iqbal J, </w:t>
      </w:r>
      <w:proofErr w:type="spellStart"/>
      <w:r>
        <w:rPr>
          <w:sz w:val="18"/>
          <w:szCs w:val="18"/>
        </w:rPr>
        <w:t>Nagaraju</w:t>
      </w:r>
      <w:proofErr w:type="spellEnd"/>
      <w:r>
        <w:rPr>
          <w:sz w:val="18"/>
          <w:szCs w:val="18"/>
        </w:rPr>
        <w:t xml:space="preserve"> E (2008) Congenital absence of inferior vena cava and thrombosis: a case report. J Med Case Reports 2: 46.</w:t>
      </w:r>
    </w:p>
    <w:p w14:paraId="0E4B1460" w14:textId="323E1E7C" w:rsidR="00DD61D6" w:rsidRPr="00DD61D6" w:rsidRDefault="00C81E6C" w:rsidP="00DD61D6">
      <w:pPr>
        <w:pStyle w:val="ListParagraph"/>
        <w:numPr>
          <w:ilvl w:val="0"/>
          <w:numId w:val="1"/>
        </w:numPr>
        <w:tabs>
          <w:tab w:val="left" w:pos="384"/>
        </w:tabs>
        <w:spacing w:before="92" w:line="218" w:lineRule="exact"/>
        <w:ind w:hanging="283"/>
        <w:rPr>
          <w:sz w:val="18"/>
          <w:szCs w:val="18"/>
        </w:rPr>
      </w:pPr>
      <w:proofErr w:type="spellStart"/>
      <w:r>
        <w:rPr>
          <w:sz w:val="18"/>
          <w:szCs w:val="18"/>
        </w:rPr>
        <w:t>Koc</w:t>
      </w:r>
      <w:proofErr w:type="spellEnd"/>
      <w:r>
        <w:rPr>
          <w:sz w:val="18"/>
          <w:szCs w:val="18"/>
        </w:rPr>
        <w:t xml:space="preserve"> Z, </w:t>
      </w:r>
      <w:proofErr w:type="spellStart"/>
      <w:r>
        <w:rPr>
          <w:sz w:val="18"/>
          <w:szCs w:val="18"/>
        </w:rPr>
        <w:t>Oguzkurt</w:t>
      </w:r>
      <w:proofErr w:type="spellEnd"/>
      <w:r>
        <w:rPr>
          <w:sz w:val="18"/>
          <w:szCs w:val="18"/>
        </w:rPr>
        <w:t xml:space="preserve"> (2007) </w:t>
      </w:r>
      <w:proofErr w:type="spellStart"/>
      <w:r>
        <w:rPr>
          <w:sz w:val="18"/>
          <w:szCs w:val="18"/>
        </w:rPr>
        <w:t>Interuption</w:t>
      </w:r>
      <w:proofErr w:type="spellEnd"/>
      <w:r>
        <w:rPr>
          <w:sz w:val="18"/>
          <w:szCs w:val="18"/>
        </w:rPr>
        <w:t xml:space="preserve"> or congenital stenosis of the inferior vena cava: prevalence, imaging and clinical </w:t>
      </w:r>
      <w:r w:rsidR="00161A30">
        <w:rPr>
          <w:sz w:val="18"/>
          <w:szCs w:val="18"/>
        </w:rPr>
        <w:t>f</w:t>
      </w:r>
      <w:r>
        <w:rPr>
          <w:sz w:val="18"/>
          <w:szCs w:val="18"/>
        </w:rPr>
        <w:t>indings</w:t>
      </w:r>
      <w:r w:rsidR="00161A30">
        <w:rPr>
          <w:sz w:val="18"/>
          <w:szCs w:val="18"/>
        </w:rPr>
        <w:t xml:space="preserve">. </w:t>
      </w:r>
      <w:proofErr w:type="spellStart"/>
      <w:r w:rsidR="00161A30">
        <w:rPr>
          <w:sz w:val="18"/>
          <w:szCs w:val="18"/>
        </w:rPr>
        <w:t>Eur</w:t>
      </w:r>
      <w:proofErr w:type="spellEnd"/>
      <w:r w:rsidR="00161A30">
        <w:rPr>
          <w:sz w:val="18"/>
          <w:szCs w:val="18"/>
        </w:rPr>
        <w:t xml:space="preserve"> J </w:t>
      </w:r>
      <w:proofErr w:type="spellStart"/>
      <w:r w:rsidR="00161A30">
        <w:rPr>
          <w:sz w:val="18"/>
          <w:szCs w:val="18"/>
        </w:rPr>
        <w:t>Radiol</w:t>
      </w:r>
      <w:proofErr w:type="spellEnd"/>
      <w:r w:rsidR="00161A30">
        <w:rPr>
          <w:sz w:val="18"/>
          <w:szCs w:val="18"/>
        </w:rPr>
        <w:t xml:space="preserve"> 62: 257 – 266.</w:t>
      </w:r>
    </w:p>
    <w:p w14:paraId="14ADCD12" w14:textId="2E38CE21" w:rsidR="00F8611B" w:rsidRPr="00DD61D6" w:rsidRDefault="00161A30" w:rsidP="00DD61D6">
      <w:pPr>
        <w:pStyle w:val="ListParagraph"/>
        <w:numPr>
          <w:ilvl w:val="0"/>
          <w:numId w:val="1"/>
        </w:numPr>
        <w:tabs>
          <w:tab w:val="left" w:pos="384"/>
        </w:tabs>
        <w:spacing w:before="92" w:line="218" w:lineRule="exact"/>
        <w:ind w:hanging="283"/>
        <w:rPr>
          <w:sz w:val="18"/>
          <w:szCs w:val="18"/>
        </w:rPr>
        <w:sectPr w:rsidR="00F8611B" w:rsidRPr="00DD61D6">
          <w:type w:val="continuous"/>
          <w:pgSz w:w="11910" w:h="16840"/>
          <w:pgMar w:top="1740" w:right="600" w:bottom="840" w:left="620" w:header="720" w:footer="720" w:gutter="0"/>
          <w:cols w:num="2" w:space="720" w:equalWidth="0">
            <w:col w:w="5214" w:space="138"/>
            <w:col w:w="5338"/>
          </w:cols>
        </w:sectPr>
      </w:pPr>
      <w:proofErr w:type="spellStart"/>
      <w:r>
        <w:rPr>
          <w:sz w:val="18"/>
          <w:szCs w:val="18"/>
        </w:rPr>
        <w:t>Koppisetty</w:t>
      </w:r>
      <w:proofErr w:type="spellEnd"/>
      <w:r>
        <w:rPr>
          <w:sz w:val="18"/>
          <w:szCs w:val="18"/>
        </w:rPr>
        <w:t xml:space="preserve"> S, Smith A G, Dhillon R K (2015) Incidental finding of inferior vena cava atresia presenting with DVT following physical assertion. Case Reports in Emergency Medicine , Article ID 146304.</w:t>
      </w:r>
    </w:p>
    <w:p w14:paraId="6AA0E4DB" w14:textId="63F5EDF3" w:rsidR="00F8611B" w:rsidRDefault="00F8611B" w:rsidP="00F8611B">
      <w:pPr>
        <w:pStyle w:val="BodyText"/>
        <w:rPr>
          <w:rFonts w:ascii="Calibri"/>
          <w:sz w:val="20"/>
        </w:rPr>
      </w:pPr>
    </w:p>
    <w:p w14:paraId="3978A40A" w14:textId="5F32E21D" w:rsidR="00F8611B" w:rsidRDefault="00F8611B" w:rsidP="00F8611B">
      <w:pPr>
        <w:pStyle w:val="BodyText"/>
        <w:spacing w:line="40" w:lineRule="exact"/>
        <w:ind w:left="2202"/>
        <w:rPr>
          <w:rFonts w:ascii="Calibri"/>
          <w:sz w:val="4"/>
        </w:rPr>
      </w:pPr>
      <w:r>
        <w:rPr>
          <w:rFonts w:ascii="Calibri"/>
          <w:noProof/>
          <w:sz w:val="4"/>
        </w:rPr>
        <mc:AlternateContent>
          <mc:Choice Requires="wpg">
            <w:drawing>
              <wp:inline distT="0" distB="0" distL="0" distR="0" wp14:anchorId="6FE036EB" wp14:editId="07A7C43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w:pict>
              <v:group w14:anchorId="0D166E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39DE7C" w14:textId="12C3A2DC" w:rsidR="00F8611B" w:rsidRDefault="00F8611B" w:rsidP="00F8611B">
      <w:pPr>
        <w:spacing w:before="92"/>
        <w:ind w:right="4234"/>
        <w:rPr>
          <w:rFonts w:ascii="Arial"/>
        </w:rPr>
      </w:pPr>
      <w:r>
        <w:rPr>
          <w:noProof/>
        </w:rPr>
        <w:t xml:space="preserve">           </w:t>
      </w:r>
      <w:r w:rsidR="0070209D">
        <w:rPr>
          <w:rFonts w:asciiTheme="minorHAnsi" w:hAnsiTheme="minorHAnsi" w:cstheme="minorHAnsi"/>
          <w:b/>
          <w:bCs/>
          <w:noProof/>
          <w:sz w:val="18"/>
          <w:szCs w:val="18"/>
        </w:rPr>
        <w:drawing>
          <wp:inline distT="0" distB="0" distL="0" distR="0" wp14:anchorId="71BE033D" wp14:editId="465700B9">
            <wp:extent cx="491413" cy="606788"/>
            <wp:effectExtent l="0" t="0" r="4445" b="3175"/>
            <wp:docPr id="3"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99C5137.tmp"/>
                    <pic:cNvPicPr/>
                  </pic:nvPicPr>
                  <pic:blipFill>
                    <a:blip r:embed="rId10">
                      <a:extLst>
                        <a:ext uri="{28A0092B-C50C-407E-A947-70E740481C1C}">
                          <a14:useLocalDpi xmlns:a14="http://schemas.microsoft.com/office/drawing/2010/main" val="0"/>
                        </a:ext>
                      </a:extLst>
                    </a:blip>
                    <a:stretch>
                      <a:fillRect/>
                    </a:stretch>
                  </pic:blipFill>
                  <pic:spPr>
                    <a:xfrm>
                      <a:off x="0" y="0"/>
                      <a:ext cx="516489" cy="637752"/>
                    </a:xfrm>
                    <a:prstGeom prst="rect">
                      <a:avLst/>
                    </a:prstGeom>
                  </pic:spPr>
                </pic:pic>
              </a:graphicData>
            </a:graphic>
          </wp:inline>
        </w:drawing>
      </w:r>
      <w:r>
        <w:rPr>
          <w:noProof/>
        </w:rPr>
        <w:t xml:space="preserve">   </w:t>
      </w:r>
      <w:r w:rsidR="00CE5241">
        <w:rPr>
          <w:rFonts w:ascii="Arial"/>
          <w:color w:val="BF5A14"/>
        </w:rPr>
        <w:t>Biography</w:t>
      </w:r>
    </w:p>
    <w:p w14:paraId="1B19267F" w14:textId="115DB1A9" w:rsidR="00F8611B" w:rsidRDefault="00CE5241" w:rsidP="00F8611B">
      <w:pPr>
        <w:spacing w:before="41" w:line="154" w:lineRule="exact"/>
        <w:ind w:left="213" w:right="231"/>
        <w:jc w:val="both"/>
        <w:rPr>
          <w:rFonts w:ascii="Arial"/>
          <w:sz w:val="14"/>
        </w:rPr>
      </w:pPr>
      <w:r>
        <w:rPr>
          <w:rFonts w:ascii="Arial"/>
          <w:sz w:val="14"/>
        </w:rPr>
        <w:t>Sanjay Singh</w:t>
      </w:r>
      <w:r w:rsidR="00F8611B">
        <w:rPr>
          <w:rFonts w:ascii="Arial"/>
          <w:sz w:val="14"/>
        </w:rPr>
        <w:t xml:space="preserve"> has expertise and passion in </w:t>
      </w:r>
      <w:r>
        <w:rPr>
          <w:rFonts w:ascii="Arial"/>
          <w:sz w:val="14"/>
        </w:rPr>
        <w:t>vascular and endovascular</w:t>
      </w:r>
      <w:r w:rsidR="00F8611B">
        <w:rPr>
          <w:rFonts w:ascii="Arial"/>
          <w:sz w:val="14"/>
        </w:rPr>
        <w:t xml:space="preserve"> </w:t>
      </w:r>
      <w:r>
        <w:rPr>
          <w:rFonts w:ascii="Arial"/>
          <w:sz w:val="14"/>
        </w:rPr>
        <w:t>surgery.</w:t>
      </w:r>
      <w:r w:rsidR="00A20B15">
        <w:rPr>
          <w:rFonts w:ascii="Arial"/>
          <w:sz w:val="14"/>
        </w:rPr>
        <w:t xml:space="preserve"> </w:t>
      </w:r>
      <w:r w:rsidR="00A20B15">
        <w:rPr>
          <w:rFonts w:ascii="Arial"/>
          <w:sz w:val="14"/>
        </w:rPr>
        <w:t>He has done complex aortic endovascular fellowship and is a vascular consultant working in United Kingdom.</w:t>
      </w:r>
      <w:bookmarkStart w:id="4" w:name="_GoBack"/>
      <w:bookmarkEnd w:id="4"/>
      <w:r w:rsidR="00F8611B">
        <w:rPr>
          <w:rFonts w:ascii="Arial"/>
          <w:sz w:val="14"/>
        </w:rPr>
        <w:t xml:space="preserve"> </w:t>
      </w:r>
      <w:r>
        <w:rPr>
          <w:rFonts w:ascii="Arial"/>
          <w:sz w:val="14"/>
        </w:rPr>
        <w:t>His</w:t>
      </w:r>
      <w:r w:rsidR="00F8611B">
        <w:rPr>
          <w:rFonts w:ascii="Arial"/>
          <w:sz w:val="14"/>
        </w:rPr>
        <w:t xml:space="preserve"> open and contextual </w:t>
      </w:r>
      <w:r>
        <w:rPr>
          <w:rFonts w:ascii="Arial"/>
          <w:sz w:val="14"/>
        </w:rPr>
        <w:t>surgical</w:t>
      </w:r>
      <w:r w:rsidR="00F8611B">
        <w:rPr>
          <w:rFonts w:ascii="Arial"/>
          <w:sz w:val="14"/>
        </w:rPr>
        <w:t xml:space="preserve"> </w:t>
      </w:r>
      <w:r>
        <w:rPr>
          <w:rFonts w:ascii="Arial"/>
          <w:sz w:val="14"/>
        </w:rPr>
        <w:t>techniques</w:t>
      </w:r>
      <w:r w:rsidR="00F8611B">
        <w:rPr>
          <w:rFonts w:ascii="Arial"/>
          <w:sz w:val="14"/>
        </w:rPr>
        <w:t xml:space="preserve"> </w:t>
      </w:r>
      <w:r>
        <w:rPr>
          <w:rFonts w:ascii="Arial"/>
          <w:sz w:val="14"/>
        </w:rPr>
        <w:t xml:space="preserve">are </w:t>
      </w:r>
      <w:r w:rsidR="00F8611B">
        <w:rPr>
          <w:rFonts w:ascii="Arial"/>
          <w:sz w:val="14"/>
        </w:rPr>
        <w:t xml:space="preserve">based on </w:t>
      </w:r>
      <w:r>
        <w:rPr>
          <w:rFonts w:ascii="Arial"/>
          <w:sz w:val="14"/>
        </w:rPr>
        <w:t>researched</w:t>
      </w:r>
      <w:r w:rsidR="00F8611B">
        <w:rPr>
          <w:rFonts w:ascii="Arial"/>
          <w:sz w:val="14"/>
        </w:rPr>
        <w:t xml:space="preserve"> </w:t>
      </w:r>
      <w:r>
        <w:rPr>
          <w:rFonts w:ascii="Arial"/>
          <w:sz w:val="14"/>
        </w:rPr>
        <w:t>and practiced</w:t>
      </w:r>
      <w:r w:rsidR="00F8611B">
        <w:rPr>
          <w:rFonts w:ascii="Arial"/>
          <w:sz w:val="14"/>
        </w:rPr>
        <w:t xml:space="preserve"> </w:t>
      </w:r>
      <w:r>
        <w:rPr>
          <w:rFonts w:ascii="Arial"/>
          <w:sz w:val="14"/>
        </w:rPr>
        <w:t>models which help create</w:t>
      </w:r>
      <w:r w:rsidR="00F8611B">
        <w:rPr>
          <w:rFonts w:ascii="Arial"/>
          <w:sz w:val="14"/>
        </w:rPr>
        <w:t xml:space="preserve"> new pathways for </w:t>
      </w:r>
      <w:r>
        <w:rPr>
          <w:rFonts w:ascii="Arial"/>
          <w:sz w:val="14"/>
        </w:rPr>
        <w:t>innovation</w:t>
      </w:r>
      <w:r w:rsidR="00F8611B">
        <w:rPr>
          <w:rFonts w:ascii="Arial"/>
          <w:sz w:val="14"/>
        </w:rPr>
        <w:t xml:space="preserve">. </w:t>
      </w:r>
      <w:r>
        <w:rPr>
          <w:rFonts w:ascii="Arial"/>
          <w:sz w:val="14"/>
        </w:rPr>
        <w:t>He</w:t>
      </w:r>
      <w:r w:rsidR="00F8611B">
        <w:rPr>
          <w:rFonts w:ascii="Arial"/>
          <w:sz w:val="14"/>
        </w:rPr>
        <w:t xml:space="preserve"> has </w:t>
      </w:r>
      <w:r>
        <w:rPr>
          <w:rFonts w:ascii="Arial"/>
          <w:sz w:val="14"/>
        </w:rPr>
        <w:t>achieved this aptitude</w:t>
      </w:r>
      <w:r w:rsidR="00F8611B">
        <w:rPr>
          <w:rFonts w:ascii="Arial"/>
          <w:sz w:val="14"/>
        </w:rPr>
        <w:t xml:space="preserve"> after y</w:t>
      </w:r>
      <w:r w:rsidR="00B41F38">
        <w:rPr>
          <w:rFonts w:ascii="Arial"/>
          <w:sz w:val="14"/>
        </w:rPr>
        <w:t>ears of experience in research and</w:t>
      </w:r>
      <w:r w:rsidR="00F8611B">
        <w:rPr>
          <w:rFonts w:ascii="Arial"/>
          <w:sz w:val="14"/>
        </w:rPr>
        <w:t xml:space="preserve"> teaching </w:t>
      </w:r>
      <w:r w:rsidR="00B41F38">
        <w:rPr>
          <w:rFonts w:ascii="Arial"/>
          <w:sz w:val="14"/>
        </w:rPr>
        <w:t xml:space="preserve">in University </w:t>
      </w:r>
      <w:r w:rsidR="00F8611B">
        <w:rPr>
          <w:rFonts w:ascii="Arial"/>
          <w:sz w:val="14"/>
        </w:rPr>
        <w:t>hospital</w:t>
      </w:r>
      <w:r w:rsidR="00B41F38">
        <w:rPr>
          <w:rFonts w:ascii="Arial"/>
          <w:sz w:val="14"/>
        </w:rPr>
        <w:t xml:space="preserve">s and </w:t>
      </w:r>
      <w:r w:rsidR="00F8611B">
        <w:rPr>
          <w:rFonts w:ascii="Arial"/>
          <w:sz w:val="14"/>
        </w:rPr>
        <w:t xml:space="preserve">institutions. </w:t>
      </w:r>
      <w:r w:rsidR="00B41F38">
        <w:rPr>
          <w:rFonts w:ascii="Arial"/>
          <w:sz w:val="14"/>
        </w:rPr>
        <w:t>The ever-responsive and adapting field of endovascular surgery has improved the survival rates of high risk patients.</w:t>
      </w:r>
    </w:p>
    <w:p w14:paraId="49F8F0DF" w14:textId="2C6B640B" w:rsidR="00CE5241" w:rsidRPr="00CE5241" w:rsidRDefault="00CE5241" w:rsidP="00CE5241">
      <w:pPr>
        <w:spacing w:before="62"/>
        <w:ind w:left="4217" w:right="4235"/>
        <w:jc w:val="center"/>
        <w:rPr>
          <w:rFonts w:ascii="Arial"/>
          <w:color w:val="0563C1" w:themeColor="hyperlink"/>
          <w:sz w:val="14"/>
          <w:u w:val="single"/>
        </w:rPr>
      </w:pPr>
      <w:r>
        <w:rPr>
          <w:rFonts w:ascii="Arial"/>
          <w:sz w:val="14"/>
        </w:rPr>
        <w:t xml:space="preserve">Email: </w:t>
      </w:r>
      <w:hyperlink r:id="rId11" w:history="1">
        <w:r>
          <w:rPr>
            <w:rStyle w:val="Hyperlink"/>
            <w:rFonts w:ascii="Arial"/>
            <w:sz w:val="14"/>
          </w:rPr>
          <w:t>dr</w:t>
        </w:r>
      </w:hyperlink>
      <w:r>
        <w:rPr>
          <w:rStyle w:val="Hyperlink"/>
          <w:rFonts w:ascii="Arial"/>
          <w:sz w:val="14"/>
        </w:rPr>
        <w:t>_sanjaysingh@hotmail.com</w:t>
      </w:r>
    </w:p>
    <w:p w14:paraId="5FF1BE69" w14:textId="24EF22C6"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1539AA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48D6A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F75F3B7" w:rsidR="00F8611B" w:rsidRDefault="00F8611B" w:rsidP="00F8611B">
      <w:pPr>
        <w:pStyle w:val="BodyText"/>
        <w:rPr>
          <w:rFonts w:ascii="Arial"/>
          <w:sz w:val="20"/>
        </w:rPr>
      </w:pPr>
    </w:p>
    <w:p w14:paraId="42BB64BC" w14:textId="1EAADC5E" w:rsidR="00F8611B" w:rsidRDefault="00F8611B" w:rsidP="00F8611B">
      <w:pPr>
        <w:pStyle w:val="BodyText"/>
        <w:rPr>
          <w:rFonts w:ascii="Arial"/>
          <w:sz w:val="20"/>
        </w:rPr>
      </w:pPr>
    </w:p>
    <w:p w14:paraId="2A146A2C" w14:textId="7217509F" w:rsidR="00F8611B" w:rsidRDefault="00F8611B" w:rsidP="00F8611B">
      <w:pPr>
        <w:pStyle w:val="BodyText"/>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8C6DE1"/>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608133" w14:textId="77777777" w:rsidR="008C6DE1" w:rsidRDefault="008C6DE1">
      <w:r>
        <w:separator/>
      </w:r>
    </w:p>
  </w:endnote>
  <w:endnote w:type="continuationSeparator" w:id="0">
    <w:p w14:paraId="058F8E46" w14:textId="77777777" w:rsidR="008C6DE1" w:rsidRDefault="008C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E17F4" w14:textId="079B5E36" w:rsidR="00AE3E37" w:rsidRDefault="00F8611B">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11E85B6D" wp14:editId="76ADE0F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85B6D"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BDEEA" w14:textId="77777777" w:rsidR="008C6DE1" w:rsidRDefault="008C6DE1">
      <w:r>
        <w:separator/>
      </w:r>
    </w:p>
  </w:footnote>
  <w:footnote w:type="continuationSeparator" w:id="0">
    <w:p w14:paraId="7316B4FC" w14:textId="77777777" w:rsidR="008C6DE1" w:rsidRDefault="008C6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2DCD" w14:textId="326FD906" w:rsidR="00AE3E37" w:rsidRDefault="008C6DE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D77"/>
    <w:rsid w:val="000F5D29"/>
    <w:rsid w:val="00161A30"/>
    <w:rsid w:val="001A3704"/>
    <w:rsid w:val="001E6873"/>
    <w:rsid w:val="001F2D77"/>
    <w:rsid w:val="00254B74"/>
    <w:rsid w:val="0034336C"/>
    <w:rsid w:val="006A43DC"/>
    <w:rsid w:val="0070209D"/>
    <w:rsid w:val="008C6DE1"/>
    <w:rsid w:val="009C52C1"/>
    <w:rsid w:val="00A20B15"/>
    <w:rsid w:val="00B41F38"/>
    <w:rsid w:val="00C81E6C"/>
    <w:rsid w:val="00CE5241"/>
    <w:rsid w:val="00D76983"/>
    <w:rsid w:val="00DD61D6"/>
    <w:rsid w:val="00DF39E5"/>
    <w:rsid w:val="00E73A81"/>
    <w:rsid w:val="00EC35C4"/>
    <w:rsid w:val="00F30452"/>
    <w:rsid w:val="00F8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B3327"/>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 w:type="paragraph" w:styleId="Header">
    <w:name w:val="header"/>
    <w:basedOn w:val="Normal"/>
    <w:link w:val="HeaderChar"/>
    <w:uiPriority w:val="99"/>
    <w:unhideWhenUsed/>
    <w:rsid w:val="00D76983"/>
    <w:pPr>
      <w:tabs>
        <w:tab w:val="center" w:pos="4513"/>
        <w:tab w:val="right" w:pos="9026"/>
      </w:tabs>
    </w:pPr>
  </w:style>
  <w:style w:type="character" w:customStyle="1" w:styleId="HeaderChar">
    <w:name w:val="Header Char"/>
    <w:basedOn w:val="DefaultParagraphFont"/>
    <w:link w:val="Header"/>
    <w:uiPriority w:val="99"/>
    <w:rsid w:val="00D76983"/>
    <w:rPr>
      <w:rFonts w:ascii="Tw Cen MT" w:eastAsia="Tw Cen MT" w:hAnsi="Tw Cen MT" w:cs="Tw Cen MT"/>
    </w:rPr>
  </w:style>
  <w:style w:type="paragraph" w:styleId="Footer">
    <w:name w:val="footer"/>
    <w:basedOn w:val="Normal"/>
    <w:link w:val="FooterChar"/>
    <w:uiPriority w:val="99"/>
    <w:unhideWhenUsed/>
    <w:rsid w:val="00D76983"/>
    <w:pPr>
      <w:tabs>
        <w:tab w:val="center" w:pos="4513"/>
        <w:tab w:val="right" w:pos="9026"/>
      </w:tabs>
    </w:pPr>
  </w:style>
  <w:style w:type="character" w:customStyle="1" w:styleId="FooterChar">
    <w:name w:val="Footer Char"/>
    <w:basedOn w:val="DefaultParagraphFont"/>
    <w:link w:val="Footer"/>
    <w:uiPriority w:val="99"/>
    <w:rsid w:val="00D76983"/>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tmp"/><Relationship Id="rId4" Type="http://schemas.openxmlformats.org/officeDocument/2006/relationships/webSettings" Target="webSettings.xml"/><Relationship Id="rId9"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sanjay singh</cp:lastModifiedBy>
  <cp:revision>4</cp:revision>
  <dcterms:created xsi:type="dcterms:W3CDTF">2017-12-15T23:01:00Z</dcterms:created>
  <dcterms:modified xsi:type="dcterms:W3CDTF">2017-12-15T23:47:00Z</dcterms:modified>
  <cp:contentStatus/>
</cp:coreProperties>
</file>