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79" w:rsidRDefault="00831B79">
      <w:pPr>
        <w:rPr>
          <w:b/>
        </w:rPr>
      </w:pPr>
    </w:p>
    <w:p w:rsidR="00831B79" w:rsidRPr="00FF54D7" w:rsidRDefault="00C3691B">
      <w:pPr>
        <w:rPr>
          <w:b/>
          <w:sz w:val="28"/>
          <w:szCs w:val="28"/>
        </w:rPr>
      </w:pPr>
      <w:r w:rsidRPr="00FF54D7">
        <w:rPr>
          <w:b/>
          <w:sz w:val="28"/>
          <w:szCs w:val="28"/>
        </w:rPr>
        <w:t>Does d</w:t>
      </w:r>
      <w:r w:rsidR="002125A4" w:rsidRPr="00FF54D7">
        <w:rPr>
          <w:b/>
          <w:sz w:val="28"/>
          <w:szCs w:val="28"/>
        </w:rPr>
        <w:t xml:space="preserve">uplex surveillance after </w:t>
      </w:r>
      <w:r w:rsidRPr="00FF54D7">
        <w:rPr>
          <w:b/>
          <w:sz w:val="28"/>
          <w:szCs w:val="28"/>
        </w:rPr>
        <w:t>femoro-popliteal bypass</w:t>
      </w:r>
      <w:r w:rsidR="002125A4" w:rsidRPr="00FF54D7">
        <w:rPr>
          <w:b/>
          <w:sz w:val="28"/>
          <w:szCs w:val="28"/>
        </w:rPr>
        <w:t xml:space="preserve"> grafting</w:t>
      </w:r>
      <w:r w:rsidRPr="00FF54D7">
        <w:rPr>
          <w:b/>
          <w:sz w:val="28"/>
          <w:szCs w:val="28"/>
        </w:rPr>
        <w:t xml:space="preserve"> affect long term graft patency</w:t>
      </w:r>
      <w:r w:rsidR="002125A4" w:rsidRPr="00FF54D7">
        <w:rPr>
          <w:b/>
          <w:sz w:val="28"/>
          <w:szCs w:val="28"/>
        </w:rPr>
        <w:t>?</w:t>
      </w:r>
    </w:p>
    <w:p w:rsidR="007C0000" w:rsidRPr="00FF54D7" w:rsidRDefault="007C0000">
      <w:pPr>
        <w:rPr>
          <w:sz w:val="24"/>
          <w:szCs w:val="24"/>
        </w:rPr>
      </w:pPr>
      <w:r w:rsidRPr="00FF54D7">
        <w:rPr>
          <w:sz w:val="24"/>
          <w:szCs w:val="24"/>
        </w:rPr>
        <w:t xml:space="preserve">Sanjay Singh, MS, FRCS, Senior Endovascular Fellow, Heart of England NHS Foundation Trust </w:t>
      </w:r>
    </w:p>
    <w:p w:rsidR="007C0000" w:rsidRPr="00FF54D7" w:rsidRDefault="00F2151B">
      <w:pPr>
        <w:rPr>
          <w:sz w:val="24"/>
          <w:szCs w:val="24"/>
        </w:rPr>
      </w:pPr>
      <w:r w:rsidRPr="00FF54D7">
        <w:rPr>
          <w:sz w:val="24"/>
          <w:szCs w:val="24"/>
        </w:rPr>
        <w:t>Rushmi Purm</w:t>
      </w:r>
      <w:r w:rsidR="007C0000" w:rsidRPr="00FF54D7">
        <w:rPr>
          <w:sz w:val="24"/>
          <w:szCs w:val="24"/>
        </w:rPr>
        <w:t xml:space="preserve">essur, </w:t>
      </w:r>
      <w:r w:rsidRPr="00FF54D7">
        <w:rPr>
          <w:sz w:val="24"/>
          <w:szCs w:val="24"/>
        </w:rPr>
        <w:t>Core Trainee 1</w:t>
      </w:r>
      <w:r w:rsidR="009702DA" w:rsidRPr="00FF54D7">
        <w:rPr>
          <w:sz w:val="24"/>
          <w:szCs w:val="24"/>
        </w:rPr>
        <w:t>, Heart of England NHS Foundation Trust</w:t>
      </w:r>
    </w:p>
    <w:p w:rsidR="007C0000" w:rsidRPr="00FF54D7" w:rsidRDefault="007C0000">
      <w:pPr>
        <w:rPr>
          <w:sz w:val="24"/>
          <w:szCs w:val="24"/>
        </w:rPr>
      </w:pPr>
      <w:r w:rsidRPr="00FF54D7">
        <w:rPr>
          <w:sz w:val="24"/>
          <w:szCs w:val="24"/>
        </w:rPr>
        <w:t>Arun Nair</w:t>
      </w:r>
      <w:r w:rsidR="00F2151B" w:rsidRPr="00FF54D7">
        <w:rPr>
          <w:sz w:val="24"/>
          <w:szCs w:val="24"/>
        </w:rPr>
        <w:t>, Foundation year 1</w:t>
      </w:r>
      <w:r w:rsidR="009702DA" w:rsidRPr="00FF54D7">
        <w:rPr>
          <w:sz w:val="24"/>
          <w:szCs w:val="24"/>
        </w:rPr>
        <w:t>, Heart of England NHS Foundation Trust</w:t>
      </w:r>
    </w:p>
    <w:p w:rsidR="00FF54D7" w:rsidRPr="00FF54D7" w:rsidRDefault="00FF54D7">
      <w:pPr>
        <w:rPr>
          <w:sz w:val="24"/>
          <w:szCs w:val="24"/>
          <w:u w:val="single"/>
        </w:rPr>
      </w:pPr>
    </w:p>
    <w:p w:rsidR="00831B79" w:rsidRPr="009702DA" w:rsidRDefault="00C3691B">
      <w:pPr>
        <w:rPr>
          <w:u w:val="single"/>
        </w:rPr>
      </w:pPr>
      <w:r w:rsidRPr="009702DA">
        <w:rPr>
          <w:u w:val="single"/>
        </w:rPr>
        <w:t>Introduction</w:t>
      </w:r>
      <w:r w:rsidR="002125A4" w:rsidRPr="009702DA">
        <w:rPr>
          <w:u w:val="single"/>
        </w:rPr>
        <w:t>:</w:t>
      </w:r>
    </w:p>
    <w:p w:rsidR="00831B79" w:rsidRDefault="002125A4">
      <w:r>
        <w:t>Duplex scanning is currently the best method to detect stenotic lesions</w:t>
      </w:r>
      <w:r w:rsidR="00C3691B">
        <w:t xml:space="preserve"> that threaten bypass </w:t>
      </w:r>
      <w:r>
        <w:t xml:space="preserve">graft patency. The correction of these lesions may improve </w:t>
      </w:r>
      <w:r w:rsidR="00C3691B">
        <w:t>long term</w:t>
      </w:r>
      <w:r>
        <w:t xml:space="preserve"> patency of grafts and limb salvage rates. The aim of this study is to </w:t>
      </w:r>
      <w:r w:rsidR="00C3691B">
        <w:t>investigate</w:t>
      </w:r>
      <w:r>
        <w:t xml:space="preserve"> the </w:t>
      </w:r>
      <w:r w:rsidR="00C3691B">
        <w:t>effects</w:t>
      </w:r>
      <w:r>
        <w:t xml:space="preserve"> of duplex surveillance </w:t>
      </w:r>
      <w:r w:rsidR="00C3691B">
        <w:t>post</w:t>
      </w:r>
      <w:r>
        <w:t xml:space="preserve"> femoro</w:t>
      </w:r>
      <w:r w:rsidR="00C3691B">
        <w:t xml:space="preserve">-popliteal </w:t>
      </w:r>
      <w:r>
        <w:t xml:space="preserve"> bypass graft for </w:t>
      </w:r>
      <w:r w:rsidR="00C3691B">
        <w:t>chronic limb threatening  ischaemia (CLTI)</w:t>
      </w:r>
      <w:r>
        <w:t xml:space="preserve"> in terms of </w:t>
      </w:r>
      <w:r w:rsidR="00C3691B">
        <w:t>graft p</w:t>
      </w:r>
      <w:r w:rsidR="004450E6">
        <w:t>a</w:t>
      </w:r>
      <w:r w:rsidR="00C3691B">
        <w:t>tency</w:t>
      </w:r>
      <w:r>
        <w:t xml:space="preserve"> and limb salvage.</w:t>
      </w:r>
    </w:p>
    <w:p w:rsidR="00831B79" w:rsidRPr="009702DA" w:rsidRDefault="00C3691B">
      <w:pPr>
        <w:rPr>
          <w:u w:val="single"/>
        </w:rPr>
      </w:pPr>
      <w:r w:rsidRPr="009702DA">
        <w:rPr>
          <w:u w:val="single"/>
        </w:rPr>
        <w:t>Methodology</w:t>
      </w:r>
      <w:r w:rsidR="002125A4" w:rsidRPr="009702DA">
        <w:rPr>
          <w:u w:val="single"/>
        </w:rPr>
        <w:t>:</w:t>
      </w:r>
    </w:p>
    <w:p w:rsidR="00C3691B" w:rsidRDefault="002125A4">
      <w:r>
        <w:t>A retrospective analys</w:t>
      </w:r>
      <w:r w:rsidR="00C3691B">
        <w:t xml:space="preserve">is of 59 patients who had underwent </w:t>
      </w:r>
      <w:r>
        <w:t>femoro</w:t>
      </w:r>
      <w:r w:rsidR="00C3691B">
        <w:t>-</w:t>
      </w:r>
      <w:r>
        <w:t xml:space="preserve">popliteal </w:t>
      </w:r>
      <w:r w:rsidR="00C3691B">
        <w:t xml:space="preserve">bypass </w:t>
      </w:r>
      <w:r>
        <w:t xml:space="preserve">graft for </w:t>
      </w:r>
      <w:r w:rsidR="00C3691B">
        <w:t>CLTI between Jan 2009 and April 2014. Data was collected from the electronic computer record and analysed using SPSS v24.</w:t>
      </w:r>
    </w:p>
    <w:p w:rsidR="00C3691B" w:rsidRPr="009702DA" w:rsidRDefault="00C3691B">
      <w:pPr>
        <w:rPr>
          <w:u w:val="single"/>
        </w:rPr>
      </w:pPr>
      <w:r w:rsidRPr="009702DA">
        <w:rPr>
          <w:u w:val="single"/>
        </w:rPr>
        <w:t>Results:</w:t>
      </w:r>
    </w:p>
    <w:p w:rsidR="00CD48CF" w:rsidRDefault="002125A4">
      <w:r>
        <w:t>O</w:t>
      </w:r>
      <w:r w:rsidR="00C3691B">
        <w:t xml:space="preserve">f </w:t>
      </w:r>
      <w:r>
        <w:t xml:space="preserve">59 patients; 49 </w:t>
      </w:r>
      <w:r w:rsidR="00C3691B">
        <w:t xml:space="preserve">(83.1%) </w:t>
      </w:r>
      <w:r>
        <w:t>had autologous vein graft, 8</w:t>
      </w:r>
      <w:r w:rsidR="00C3691B">
        <w:t xml:space="preserve"> (13.6%)</w:t>
      </w:r>
      <w:r>
        <w:t xml:space="preserve"> prosthetic vein grafts and 2</w:t>
      </w:r>
      <w:r w:rsidR="00C3691B">
        <w:t xml:space="preserve"> (3.4%)</w:t>
      </w:r>
      <w:r>
        <w:t xml:space="preserve"> composite graft.</w:t>
      </w:r>
      <w:r w:rsidR="00DC00F1">
        <w:t xml:space="preserve"> </w:t>
      </w:r>
      <w:r w:rsidR="004450E6" w:rsidRPr="004450E6">
        <w:t>Mean follow up was 13.6 (0-64) months.  Mean age was 77 (58-96) years</w:t>
      </w:r>
      <w:r w:rsidR="004450E6">
        <w:t>.</w:t>
      </w:r>
      <w:r w:rsidRPr="004450E6">
        <w:t xml:space="preserve"> </w:t>
      </w:r>
      <w:r>
        <w:t xml:space="preserve">Duplex scan surveillance was </w:t>
      </w:r>
      <w:r w:rsidR="00C3691B">
        <w:t>performed</w:t>
      </w:r>
      <w:r>
        <w:t xml:space="preserve"> in 35 </w:t>
      </w:r>
      <w:r w:rsidR="00C3691B">
        <w:t xml:space="preserve">(71.4%) </w:t>
      </w:r>
      <w:r>
        <w:t xml:space="preserve">patients at 3,6,9,18 and 24 months post operatively; 27 in autologous vein, 7 in prosthetic graft and 1 in composite. Positive findings of </w:t>
      </w:r>
      <w:r w:rsidR="00C3691B">
        <w:t>occluded</w:t>
      </w:r>
      <w:r>
        <w:t xml:space="preserve"> graft were noted in 10 duplex s</w:t>
      </w:r>
      <w:r w:rsidR="00C3691B">
        <w:t>cans; all blocked grafts were</w:t>
      </w:r>
      <w:r>
        <w:t xml:space="preserve"> autologous vein gr</w:t>
      </w:r>
      <w:r w:rsidR="00C3691B">
        <w:t>afts. Out of the 17 patent vein grafts</w:t>
      </w:r>
      <w:r w:rsidR="00DC00F1">
        <w:t>,</w:t>
      </w:r>
      <w:r>
        <w:t xml:space="preserve"> stenosis </w:t>
      </w:r>
      <w:r w:rsidR="00DC00F1">
        <w:t xml:space="preserve">was </w:t>
      </w:r>
      <w:r w:rsidR="00930F55">
        <w:t>noted in 9</w:t>
      </w:r>
      <w:r>
        <w:t xml:space="preserve"> veins requiring angioplasty. Two patients needed amputation after angioplasty. </w:t>
      </w:r>
      <w:r w:rsidR="008A469E" w:rsidRPr="008A469E">
        <w:t>Primary patency at 1 &amp; 2yr for duplex surveillance group was 71.4% and no surveillance group was 54.2%</w:t>
      </w:r>
      <w:r w:rsidR="008A469E">
        <w:t xml:space="preserve">. Within 2 years 21 patients needed major amputation. Total amputation rate was 35.5%.  10 amputations in patient who were on surveillance (28.5%) and 11 who had no surveillance (45.8%). At 7 years </w:t>
      </w:r>
      <w:r w:rsidR="008A469E" w:rsidRPr="008A469E">
        <w:t>a</w:t>
      </w:r>
      <w:r w:rsidR="008A469E">
        <w:t xml:space="preserve">mputation free survival (AFS) was </w:t>
      </w:r>
      <w:r w:rsidR="008A469E" w:rsidRPr="008A469E">
        <w:t xml:space="preserve">48.6% vs 16.7% </w:t>
      </w:r>
      <w:r w:rsidR="008A469E">
        <w:t xml:space="preserve">in no surveillance group </w:t>
      </w:r>
      <w:r w:rsidR="008A469E" w:rsidRPr="008A469E">
        <w:t>(HR 0.52 95% CI 0.28 - 0.99 p=0.047)</w:t>
      </w:r>
      <w:r w:rsidR="008A469E">
        <w:t xml:space="preserve">; </w:t>
      </w:r>
      <w:r w:rsidR="008A469E" w:rsidRPr="008A469E">
        <w:t>Limb Salvage was 71.4% vs 54.2% (HR 0.57 95% CI 0.24 - 1.35 p=0.203)</w:t>
      </w:r>
      <w:r w:rsidR="008A469E">
        <w:t xml:space="preserve"> and overall s</w:t>
      </w:r>
      <w:r w:rsidR="008A469E" w:rsidRPr="008A469E">
        <w:t>urvival was 71.4% vs 33.3% (HR 0</w:t>
      </w:r>
      <w:r w:rsidR="00B34DA9">
        <w:t>.37 95% CI 0.168 – 0.817 p=0.14</w:t>
      </w:r>
    </w:p>
    <w:p w:rsidR="00831B79" w:rsidRPr="00FF54D7" w:rsidRDefault="002125A4">
      <w:pPr>
        <w:rPr>
          <w:u w:val="single"/>
        </w:rPr>
      </w:pPr>
      <w:r w:rsidRPr="00FF54D7">
        <w:rPr>
          <w:u w:val="single"/>
        </w:rPr>
        <w:t>Conclusion:</w:t>
      </w:r>
    </w:p>
    <w:p w:rsidR="00B34DA9" w:rsidRDefault="00B34DA9">
      <w:pPr>
        <w:rPr>
          <w:rFonts w:ascii="Segoe UI" w:hAnsi="Segoe UI" w:cs="Segoe UI"/>
          <w:color w:val="212121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212121"/>
          <w:sz w:val="20"/>
          <w:szCs w:val="20"/>
          <w:shd w:val="clear" w:color="auto" w:fill="FFFFFF"/>
        </w:rPr>
        <w:t>In our cohort the important clinical outcomes following bypass surgery for chronic limb threatening ischaemia are far better if patients were enrolled in a local graft surveillance protocol.</w:t>
      </w:r>
    </w:p>
    <w:p w:rsidR="00FF54D7" w:rsidRDefault="00FF54D7"/>
    <w:p w:rsidR="00831B79" w:rsidRDefault="00FF54D7">
      <w:pPr>
        <w:rPr>
          <w:b/>
        </w:rPr>
      </w:pPr>
      <w:r>
        <w:t xml:space="preserve"> </w:t>
      </w:r>
      <w:r w:rsidR="00CB091F">
        <w:t xml:space="preserve">                            </w:t>
      </w:r>
      <w:bookmarkStart w:id="0" w:name="_GoBack"/>
      <w:bookmarkEnd w:id="0"/>
    </w:p>
    <w:p w:rsidR="00FF54D7" w:rsidRDefault="00FF54D7">
      <w:pPr>
        <w:rPr>
          <w:b/>
        </w:rPr>
      </w:pPr>
    </w:p>
    <w:p w:rsidR="00FF54D7" w:rsidRDefault="00FF54D7">
      <w:pPr>
        <w:rPr>
          <w:b/>
        </w:rPr>
      </w:pPr>
    </w:p>
    <w:p w:rsidR="00FF54D7" w:rsidRPr="00FF54D7" w:rsidRDefault="00FF54D7">
      <w:pPr>
        <w:rPr>
          <w:b/>
        </w:rPr>
      </w:pPr>
      <w:r>
        <w:rPr>
          <w:b/>
        </w:rPr>
        <w:lastRenderedPageBreak/>
        <w:t xml:space="preserve">    </w:t>
      </w:r>
      <w:r w:rsidR="00CB091F">
        <w:rPr>
          <w:b/>
        </w:rPr>
        <w:t xml:space="preserve">                            </w:t>
      </w:r>
    </w:p>
    <w:sectPr w:rsidR="00FF54D7" w:rsidRPr="00FF54D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009" w:rsidRDefault="00435009">
      <w:pPr>
        <w:spacing w:after="0" w:line="240" w:lineRule="auto"/>
      </w:pPr>
      <w:r>
        <w:separator/>
      </w:r>
    </w:p>
  </w:endnote>
  <w:endnote w:type="continuationSeparator" w:id="0">
    <w:p w:rsidR="00435009" w:rsidRDefault="00435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009" w:rsidRDefault="0043500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35009" w:rsidRDefault="00435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79"/>
    <w:rsid w:val="002125A4"/>
    <w:rsid w:val="002C6CAA"/>
    <w:rsid w:val="00435009"/>
    <w:rsid w:val="004450E6"/>
    <w:rsid w:val="007C0000"/>
    <w:rsid w:val="007D7ACE"/>
    <w:rsid w:val="007F7F37"/>
    <w:rsid w:val="0080571B"/>
    <w:rsid w:val="00831B79"/>
    <w:rsid w:val="008A469E"/>
    <w:rsid w:val="00930F55"/>
    <w:rsid w:val="009702DA"/>
    <w:rsid w:val="00B34DA9"/>
    <w:rsid w:val="00C22562"/>
    <w:rsid w:val="00C3691B"/>
    <w:rsid w:val="00CB091F"/>
    <w:rsid w:val="00CD48CF"/>
    <w:rsid w:val="00DC00F1"/>
    <w:rsid w:val="00ED0792"/>
    <w:rsid w:val="00EE5463"/>
    <w:rsid w:val="00F2151B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6CC34"/>
  <w15:docId w15:val="{3DA7CF25-D9CB-49C8-AB06-DCCA9116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 of England NHS Foundation Trust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 singh</dc:creator>
  <cp:lastModifiedBy>sanjay singh</cp:lastModifiedBy>
  <cp:revision>3</cp:revision>
  <dcterms:created xsi:type="dcterms:W3CDTF">2017-12-09T15:30:00Z</dcterms:created>
  <dcterms:modified xsi:type="dcterms:W3CDTF">2017-12-09T15:36:00Z</dcterms:modified>
</cp:coreProperties>
</file>