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34FB32" w14:textId="77777777" w:rsidR="0080047A" w:rsidRDefault="0080047A" w:rsidP="0080047A">
      <w:pPr>
        <w:tabs>
          <w:tab w:val="left" w:pos="1620"/>
        </w:tabs>
        <w:spacing w:line="240" w:lineRule="auto"/>
        <w:ind w:left="-360"/>
        <w:rPr>
          <w:rFonts w:ascii="Times New Roman" w:hAnsi="Times New Roman"/>
          <w:b/>
          <w:sz w:val="24"/>
          <w:szCs w:val="24"/>
        </w:rPr>
      </w:pPr>
      <w:r>
        <w:rPr>
          <w:rFonts w:ascii="Arial" w:hAnsi="Arial" w:cs="Arial"/>
        </w:rPr>
        <w:t>Preoperative Inferior Mesenteric Artery Embolization: A Valid Method to Reduce the Rate of Type II Endoleak after EVAR?</w:t>
      </w:r>
    </w:p>
    <w:p w14:paraId="40958B20" w14:textId="77777777" w:rsidR="007B2F2E" w:rsidRDefault="007B2F2E" w:rsidP="0080047A">
      <w:pPr>
        <w:tabs>
          <w:tab w:val="left" w:pos="1620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14:paraId="44071BEC" w14:textId="77777777" w:rsidR="007B2F2E" w:rsidRDefault="007B2F2E" w:rsidP="007B2F2E">
      <w:pPr>
        <w:tabs>
          <w:tab w:val="left" w:pos="1620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9804EE">
        <w:rPr>
          <w:rFonts w:ascii="Times New Roman" w:hAnsi="Times New Roman"/>
          <w:i/>
          <w:sz w:val="24"/>
          <w:szCs w:val="24"/>
        </w:rPr>
        <w:t>Objective</w:t>
      </w:r>
      <w:r>
        <w:rPr>
          <w:rFonts w:ascii="Times New Roman" w:hAnsi="Times New Roman"/>
          <w:sz w:val="24"/>
          <w:szCs w:val="24"/>
        </w:rPr>
        <w:t xml:space="preserve">: Type II endoleak is the most commonly encountered endoleak following endovascular abdominal aortic aneurysm repair (EVAR). Some have advocated preoperative inferior mesenteric artery (IMA) embolization as a valid method for reducing the incidence of this endoleak but controversies exist. We sought to demonstrate the impact of IMA embolization using a pooled-analysis of currently available studies combined with our own experience. </w:t>
      </w:r>
    </w:p>
    <w:p w14:paraId="5FC709A5" w14:textId="77777777" w:rsidR="007B2F2E" w:rsidRDefault="007B2F2E" w:rsidP="007B2F2E">
      <w:pPr>
        <w:tabs>
          <w:tab w:val="left" w:pos="1620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B27845">
        <w:rPr>
          <w:rFonts w:ascii="Times New Roman" w:hAnsi="Times New Roman"/>
          <w:i/>
          <w:sz w:val="24"/>
          <w:szCs w:val="24"/>
        </w:rPr>
        <w:t>Methods</w:t>
      </w:r>
      <w:r>
        <w:rPr>
          <w:rFonts w:ascii="Times New Roman" w:hAnsi="Times New Roman"/>
          <w:sz w:val="24"/>
          <w:szCs w:val="24"/>
        </w:rPr>
        <w:t xml:space="preserve">: We conducted an Institutional Board Review (IRB) approved, retrospective analysis of all patients undergoing IMA embolization prior to EVAR between the years 2010 and 2015 and used as a control a similar group of patients with patent IMA. We combined and divided patients from our own experience and 9 other studies into 2 groups: those who did not undergo IMA embolization (control) prior to EVAR and those who did. Rates of type II endoleaks, aneurysm sac regression and secondary interventions were analyzed. </w:t>
      </w:r>
    </w:p>
    <w:p w14:paraId="71C9E1C5" w14:textId="77777777" w:rsidR="007B2F2E" w:rsidRDefault="007B2F2E" w:rsidP="007B2F2E">
      <w:pPr>
        <w:tabs>
          <w:tab w:val="left" w:pos="1620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9555D0">
        <w:rPr>
          <w:rFonts w:ascii="Times New Roman" w:hAnsi="Times New Roman"/>
          <w:i/>
          <w:sz w:val="24"/>
          <w:szCs w:val="24"/>
        </w:rPr>
        <w:t>Results</w:t>
      </w:r>
      <w:r>
        <w:rPr>
          <w:rFonts w:ascii="Times New Roman" w:hAnsi="Times New Roman"/>
          <w:sz w:val="24"/>
          <w:szCs w:val="24"/>
        </w:rPr>
        <w:t>: A total of 620 patients from 6 studies were analyzed, including 258 patients who underwent an attempted IMA embolization prior to EVAR with a cumulative success rate of 99.2% (range 93.8 to 100%). There was 1 fatality associated with IMA embolization. A meta-analysis showed that preoperative IMA embolization protected against type II endoleaks compared to the control group [OR: 0.31 (0.17, 0.57); p&lt;0.001, I</w:t>
      </w:r>
      <w:r w:rsidRPr="00AA2F50"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=43%]. Furthermore, the rate of secondary intervention was significantly lower in the treatment group [OR: 0.12 (0.004, 0.36); p&lt;0.001, I</w:t>
      </w:r>
      <w:r w:rsidRPr="00AA2F50"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=0%] Following IMA embolization, type II endoleak resulted from patent lumbar arteries in all 62 patients with persistent endoleak. </w:t>
      </w:r>
    </w:p>
    <w:p w14:paraId="68E732CF" w14:textId="77777777" w:rsidR="007B2F2E" w:rsidRPr="00F3404C" w:rsidRDefault="007B2F2E" w:rsidP="007B2F2E">
      <w:pPr>
        <w:tabs>
          <w:tab w:val="left" w:pos="1620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CE25BE">
        <w:rPr>
          <w:rFonts w:ascii="Times New Roman" w:hAnsi="Times New Roman"/>
          <w:i/>
          <w:sz w:val="24"/>
          <w:szCs w:val="24"/>
        </w:rPr>
        <w:t>Conclusion</w:t>
      </w:r>
      <w:r>
        <w:rPr>
          <w:rFonts w:ascii="Times New Roman" w:hAnsi="Times New Roman"/>
          <w:sz w:val="24"/>
          <w:szCs w:val="24"/>
        </w:rPr>
        <w:t>: Preoperative embolization of the IMA protects against the development of type II endoleaks and may potentially lead to a rapid aneurysm sac regression. A randomized trial, however, is required to clearly delineate the clinical significance of this technique.</w:t>
      </w:r>
    </w:p>
    <w:p w14:paraId="08950CF0" w14:textId="77777777" w:rsidR="00D11384" w:rsidRDefault="00D11384"/>
    <w:sectPr w:rsidR="00D11384" w:rsidSect="001A68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F2E"/>
    <w:rsid w:val="001A6895"/>
    <w:rsid w:val="007B2F2E"/>
    <w:rsid w:val="0080047A"/>
    <w:rsid w:val="00D11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1488A0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F2E"/>
    <w:pPr>
      <w:spacing w:after="200" w:line="276" w:lineRule="auto"/>
    </w:pPr>
    <w:rPr>
      <w:rFonts w:ascii="Cambria" w:eastAsia="Cambria" w:hAnsi="Cambria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F2E"/>
    <w:pPr>
      <w:spacing w:after="200" w:line="276" w:lineRule="auto"/>
    </w:pPr>
    <w:rPr>
      <w:rFonts w:ascii="Cambria" w:eastAsia="Cambria" w:hAnsi="Cambria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306</Words>
  <Characters>1746</Characters>
  <Application>Microsoft Macintosh Word</Application>
  <DocSecurity>0</DocSecurity>
  <Lines>14</Lines>
  <Paragraphs>4</Paragraphs>
  <ScaleCrop>false</ScaleCrop>
  <Company>Mayo Clinic, Rochester, MN</Company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 Manunga</dc:creator>
  <cp:keywords/>
  <dc:description/>
  <cp:lastModifiedBy>Jesse Manunga</cp:lastModifiedBy>
  <cp:revision>2</cp:revision>
  <dcterms:created xsi:type="dcterms:W3CDTF">2017-11-03T01:03:00Z</dcterms:created>
  <dcterms:modified xsi:type="dcterms:W3CDTF">2017-12-01T18:16:00Z</dcterms:modified>
</cp:coreProperties>
</file>