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49E" w:rsidRPr="00676E0E" w:rsidRDefault="006A349E" w:rsidP="006A349E">
      <w:pPr>
        <w:rPr>
          <w:rFonts w:ascii="Times New Roman" w:hAnsi="Times New Roman" w:cs="Times New Roman"/>
        </w:rPr>
      </w:pPr>
      <w:r w:rsidRPr="00676E0E">
        <w:rPr>
          <w:rFonts w:ascii="Times New Roman" w:hAnsi="Times New Roman" w:cs="Times New Roman"/>
          <w:b/>
        </w:rPr>
        <w:t>Single-Center Experience with Complex Abdominal Aortic Aneurysms Treated by Open or Endovascular Repair Using Fenestrated/Branched Endografts</w:t>
      </w:r>
    </w:p>
    <w:p w:rsidR="006A349E" w:rsidRPr="00676E0E" w:rsidRDefault="006A349E" w:rsidP="006A349E">
      <w:pPr>
        <w:rPr>
          <w:rFonts w:ascii="Times New Roman" w:hAnsi="Times New Roman" w:cs="Times New Roman"/>
        </w:rPr>
      </w:pPr>
    </w:p>
    <w:p w:rsidR="006A349E" w:rsidRPr="00676E0E" w:rsidRDefault="006A349E" w:rsidP="006A349E">
      <w:pPr>
        <w:rPr>
          <w:rFonts w:ascii="Times New Roman" w:hAnsi="Times New Roman" w:cs="Times New Roman"/>
        </w:rPr>
      </w:pPr>
      <w:r w:rsidRPr="00676E0E">
        <w:rPr>
          <w:rFonts w:ascii="Times New Roman" w:hAnsi="Times New Roman" w:cs="Times New Roman"/>
        </w:rPr>
        <w:t>Jesse Manunga, MD</w:t>
      </w:r>
      <w:r w:rsidRPr="00676E0E">
        <w:rPr>
          <w:rFonts w:ascii="Times New Roman" w:hAnsi="Times New Roman" w:cs="Times New Roman"/>
          <w:vertAlign w:val="superscript"/>
        </w:rPr>
        <w:t>1</w:t>
      </w:r>
      <w:r w:rsidRPr="00676E0E">
        <w:rPr>
          <w:rFonts w:ascii="Times New Roman" w:hAnsi="Times New Roman" w:cs="Times New Roman"/>
        </w:rPr>
        <w:t>; Timothy Sullivan, MD</w:t>
      </w:r>
      <w:r w:rsidRPr="00676E0E">
        <w:rPr>
          <w:rFonts w:ascii="Times New Roman" w:hAnsi="Times New Roman" w:cs="Times New Roman"/>
          <w:vertAlign w:val="superscript"/>
        </w:rPr>
        <w:t>1</w:t>
      </w:r>
      <w:r w:rsidRPr="00676E0E">
        <w:rPr>
          <w:rFonts w:ascii="Times New Roman" w:hAnsi="Times New Roman" w:cs="Times New Roman"/>
        </w:rPr>
        <w:t>; Ross Garberich, MS, MBA</w:t>
      </w:r>
      <w:r w:rsidRPr="00676E0E">
        <w:rPr>
          <w:rFonts w:ascii="Times New Roman" w:hAnsi="Times New Roman" w:cs="Times New Roman"/>
          <w:vertAlign w:val="superscript"/>
        </w:rPr>
        <w:t>2</w:t>
      </w:r>
      <w:r w:rsidRPr="00676E0E">
        <w:rPr>
          <w:rFonts w:ascii="Times New Roman" w:hAnsi="Times New Roman" w:cs="Times New Roman"/>
        </w:rPr>
        <w:t>; Peter Alden, MD</w:t>
      </w:r>
      <w:r w:rsidRPr="00676E0E">
        <w:rPr>
          <w:rFonts w:ascii="Times New Roman" w:hAnsi="Times New Roman" w:cs="Times New Roman"/>
          <w:vertAlign w:val="superscript"/>
        </w:rPr>
        <w:t>1</w:t>
      </w:r>
      <w:r w:rsidRPr="00676E0E">
        <w:rPr>
          <w:rFonts w:ascii="Times New Roman" w:hAnsi="Times New Roman" w:cs="Times New Roman"/>
        </w:rPr>
        <w:t>; Jason Alexander, MD</w:t>
      </w:r>
      <w:r w:rsidRPr="00676E0E">
        <w:rPr>
          <w:rFonts w:ascii="Times New Roman" w:hAnsi="Times New Roman" w:cs="Times New Roman"/>
          <w:vertAlign w:val="superscript"/>
        </w:rPr>
        <w:t>1</w:t>
      </w:r>
      <w:r w:rsidRPr="00676E0E">
        <w:rPr>
          <w:rFonts w:ascii="Times New Roman" w:hAnsi="Times New Roman" w:cs="Times New Roman"/>
        </w:rPr>
        <w:t>; Nedaa Skeik, MD</w:t>
      </w:r>
      <w:r w:rsidRPr="00676E0E">
        <w:rPr>
          <w:rFonts w:ascii="Times New Roman" w:hAnsi="Times New Roman" w:cs="Times New Roman"/>
          <w:vertAlign w:val="superscript"/>
        </w:rPr>
        <w:t>1</w:t>
      </w:r>
      <w:r w:rsidRPr="00676E0E">
        <w:rPr>
          <w:rFonts w:ascii="Times New Roman" w:hAnsi="Times New Roman" w:cs="Times New Roman"/>
        </w:rPr>
        <w:t>; Jessica Titus, MD</w:t>
      </w:r>
      <w:r w:rsidRPr="00676E0E">
        <w:rPr>
          <w:rFonts w:ascii="Times New Roman" w:hAnsi="Times New Roman" w:cs="Times New Roman"/>
          <w:vertAlign w:val="superscript"/>
        </w:rPr>
        <w:t>1</w:t>
      </w:r>
      <w:r w:rsidRPr="00676E0E">
        <w:rPr>
          <w:rFonts w:ascii="Times New Roman" w:hAnsi="Times New Roman" w:cs="Times New Roman"/>
        </w:rPr>
        <w:t>; Elliott Stephenson, MD</w:t>
      </w:r>
      <w:r w:rsidRPr="00676E0E">
        <w:rPr>
          <w:rFonts w:ascii="Times New Roman" w:hAnsi="Times New Roman" w:cs="Times New Roman"/>
          <w:vertAlign w:val="superscript"/>
        </w:rPr>
        <w:t>1</w:t>
      </w:r>
      <w:r w:rsidRPr="00676E0E">
        <w:rPr>
          <w:rFonts w:ascii="Times New Roman" w:hAnsi="Times New Roman" w:cs="Times New Roman"/>
        </w:rPr>
        <w:t>; Andrew Cragg, MD</w:t>
      </w:r>
      <w:r w:rsidRPr="00676E0E">
        <w:rPr>
          <w:rFonts w:ascii="Times New Roman" w:hAnsi="Times New Roman" w:cs="Times New Roman"/>
          <w:vertAlign w:val="superscript"/>
        </w:rPr>
        <w:t>1</w:t>
      </w:r>
    </w:p>
    <w:p w:rsidR="006A349E" w:rsidRPr="00676E0E" w:rsidRDefault="006A349E" w:rsidP="006A349E">
      <w:pPr>
        <w:rPr>
          <w:rFonts w:ascii="Times New Roman" w:hAnsi="Times New Roman" w:cs="Times New Roman"/>
        </w:rPr>
      </w:pPr>
    </w:p>
    <w:p w:rsidR="006A349E" w:rsidRPr="00676E0E" w:rsidRDefault="006A349E" w:rsidP="006A349E">
      <w:pPr>
        <w:rPr>
          <w:rFonts w:ascii="Times New Roman" w:hAnsi="Times New Roman" w:cs="Times New Roman"/>
        </w:rPr>
      </w:pPr>
      <w:r w:rsidRPr="00676E0E">
        <w:rPr>
          <w:rFonts w:ascii="Times New Roman" w:hAnsi="Times New Roman" w:cs="Times New Roman"/>
          <w:i/>
        </w:rPr>
        <w:t>Objectives</w:t>
      </w:r>
      <w:r w:rsidRPr="00676E0E">
        <w:rPr>
          <w:rFonts w:ascii="Times New Roman" w:hAnsi="Times New Roman" w:cs="Times New Roman"/>
        </w:rPr>
        <w:t>: To evaluate outcomes of patients with complex abdominal aortic aneurysms (cAAAs) treated with open repair (OR) or endovascular repair using fenestrated/branched endografts (F/B-EVAR) from a single center.</w:t>
      </w:r>
    </w:p>
    <w:p w:rsidR="006A349E" w:rsidRPr="00676E0E" w:rsidRDefault="006A349E" w:rsidP="006A349E">
      <w:pPr>
        <w:rPr>
          <w:rFonts w:ascii="Times New Roman" w:hAnsi="Times New Roman" w:cs="Times New Roman"/>
        </w:rPr>
      </w:pPr>
      <w:r w:rsidRPr="00676E0E">
        <w:rPr>
          <w:rFonts w:ascii="Times New Roman" w:hAnsi="Times New Roman" w:cs="Times New Roman"/>
          <w:i/>
        </w:rPr>
        <w:t>Methods</w:t>
      </w:r>
      <w:r w:rsidRPr="00676E0E">
        <w:rPr>
          <w:rFonts w:ascii="Times New Roman" w:hAnsi="Times New Roman" w:cs="Times New Roman"/>
        </w:rPr>
        <w:t xml:space="preserve">: A retrospective analysis of consecutive patients with cAAAs treated electively by OR </w:t>
      </w:r>
      <w:proofErr w:type="spellStart"/>
      <w:r w:rsidRPr="00676E0E">
        <w:rPr>
          <w:rFonts w:ascii="Times New Roman" w:hAnsi="Times New Roman" w:cs="Times New Roman"/>
        </w:rPr>
        <w:t>or</w:t>
      </w:r>
      <w:proofErr w:type="spellEnd"/>
      <w:r w:rsidRPr="00676E0E">
        <w:rPr>
          <w:rFonts w:ascii="Times New Roman" w:hAnsi="Times New Roman" w:cs="Times New Roman"/>
        </w:rPr>
        <w:t xml:space="preserve"> F/B-EVAR between January 2010 and February 2017 was conducted. Patient demographics, cardiovascular risk factors, procedure time, number of vessels incorporated, radiation dose, </w:t>
      </w:r>
      <w:r w:rsidRPr="00F55886">
        <w:rPr>
          <w:rFonts w:ascii="Times New Roman" w:hAnsi="Times New Roman" w:cs="Times New Roman"/>
        </w:rPr>
        <w:t>estimated blood loss (EBL), ICU and hospital length of stay (HLOS) were recorded</w:t>
      </w:r>
      <w:r w:rsidRPr="00676E0E">
        <w:rPr>
          <w:rFonts w:ascii="Times New Roman" w:hAnsi="Times New Roman" w:cs="Times New Roman"/>
        </w:rPr>
        <w:t>. Endpoints included target vessel patency, aneurysm rupture, freedom from reintervention, and major adverse events (MAEs).</w:t>
      </w:r>
    </w:p>
    <w:p w:rsidR="006A349E" w:rsidRPr="00676E0E" w:rsidRDefault="006A349E" w:rsidP="006A349E">
      <w:pPr>
        <w:rPr>
          <w:rFonts w:ascii="Times New Roman" w:hAnsi="Times New Roman" w:cs="Times New Roman"/>
        </w:rPr>
      </w:pPr>
      <w:r w:rsidRPr="00676E0E">
        <w:rPr>
          <w:rFonts w:ascii="Times New Roman" w:hAnsi="Times New Roman" w:cs="Times New Roman"/>
          <w:i/>
        </w:rPr>
        <w:t>Results</w:t>
      </w:r>
      <w:r w:rsidRPr="00676E0E">
        <w:rPr>
          <w:rFonts w:ascii="Times New Roman" w:hAnsi="Times New Roman" w:cs="Times New Roman"/>
        </w:rPr>
        <w:t xml:space="preserve">:  During this period, 153 patients (OR: 69; F/B-EVAR: 84) underwent repair of cAAA. Majority were males (OR: 55; F/B-EVAR: 64) with a mean age of 75.8±7.6 years (F/B-EVAR) and 71.2±7.9 years (OR). Patients in the F/B-EVAR group were more likely to be ASA class III and IV (60% vs. 0, p&lt;0.001) and had higher median SVS/AAVS comorbidity severity score (15 vs. 7, p&lt;0.001).  A total of 235 vessels were targeted in the F/B-EVAR group with a technical success of 97.6%. Thirty-one patients in the OR group required concomitant renal artery revascularization. Transfusion requirements (100% vs. 1.2%), MAEs (40.6% vs. 13.1%), procedure length, EBL, ICU and HLOS (304 min, 2246 ml, 3 days, 7 days vs. 140 min, 165 ml, 1 day, 2 days) were higher (p&lt;0.001) in the OR compared to the F/B-EVAR group. Thirty-day mortality was 2.9% and 2.4% (p=0.84) in the OR group and F/B-EVAR, respectively. </w:t>
      </w:r>
      <w:r w:rsidRPr="00F55886">
        <w:rPr>
          <w:rFonts w:ascii="Times New Roman" w:hAnsi="Times New Roman" w:cs="Times New Roman"/>
        </w:rPr>
        <w:t>Supraceliac clamp site was associated with increased incidence of postoperative renal insufficiency</w:t>
      </w:r>
      <w:r w:rsidRPr="00676E0E">
        <w:rPr>
          <w:rFonts w:ascii="Times New Roman" w:hAnsi="Times New Roman" w:cs="Times New Roman"/>
        </w:rPr>
        <w:t xml:space="preserve">. A decrease in procedure time, contrast volume, fluoroscopy time and dose was noted in the F/B-EVAR group with increasing experience even as case complexity increased. More patients were discharged home following F/B-EVAR (97.6% vs. 59.4%; p&lt;0.001). With a mean follow up of 31 months (F/B-EVAR: 17; OR: 48) the rate of secondary intervention was 3.7% and 5.8% (P=NS) for F/B-EVAR and OR, respectively. Freedom from branch instability and reintervention were 99% (CI: 96.2% - 99.8%) and 96% (CI: 87.1%-98.6%), respectively.  </w:t>
      </w:r>
    </w:p>
    <w:p w:rsidR="006A349E" w:rsidRPr="00676E0E" w:rsidRDefault="006A349E" w:rsidP="006A349E">
      <w:pPr>
        <w:rPr>
          <w:rFonts w:ascii="Times New Roman" w:hAnsi="Times New Roman" w:cs="Times New Roman"/>
          <w:b/>
        </w:rPr>
      </w:pPr>
      <w:r w:rsidRPr="00676E0E">
        <w:rPr>
          <w:rFonts w:ascii="Times New Roman" w:hAnsi="Times New Roman" w:cs="Times New Roman"/>
          <w:i/>
        </w:rPr>
        <w:t>Conclusions</w:t>
      </w:r>
      <w:r w:rsidRPr="00676E0E">
        <w:rPr>
          <w:rFonts w:ascii="Times New Roman" w:hAnsi="Times New Roman" w:cs="Times New Roman"/>
        </w:rPr>
        <w:t xml:space="preserve">: Results of this “real world” experience suggest that the use of F/B-EVAR for the treatment of cAAAs in high-risk surgical patients is safe, effective and has comparable short-term results to low-risk patients undergoing OR. Patients treated by F/B-EVAR had shorter ICU and HLOS, lower MAEs and faster convalescence. A decrease in procedure time and radiation dose was noted as experience was gained, even as complexity increased. </w:t>
      </w:r>
    </w:p>
    <w:p w:rsidR="00D7770E" w:rsidRDefault="00D7770E" w:rsidP="006A349E">
      <w:bookmarkStart w:id="0" w:name="_GoBack"/>
      <w:bookmarkEnd w:id="0"/>
    </w:p>
    <w:sectPr w:rsidR="00D7770E" w:rsidSect="001A68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49E"/>
    <w:rsid w:val="001A6895"/>
    <w:rsid w:val="006A349E"/>
    <w:rsid w:val="00D7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8D71F4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446</Words>
  <Characters>2547</Characters>
  <Application>Microsoft Macintosh Word</Application>
  <DocSecurity>0</DocSecurity>
  <Lines>21</Lines>
  <Paragraphs>5</Paragraphs>
  <ScaleCrop>false</ScaleCrop>
  <Company>Mayo Clinic, Rochester, MN</Company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Manunga</dc:creator>
  <cp:keywords/>
  <dc:description/>
  <cp:lastModifiedBy>Jesse Manunga</cp:lastModifiedBy>
  <cp:revision>1</cp:revision>
  <dcterms:created xsi:type="dcterms:W3CDTF">2017-12-01T18:08:00Z</dcterms:created>
  <dcterms:modified xsi:type="dcterms:W3CDTF">2017-12-01T18:10:00Z</dcterms:modified>
</cp:coreProperties>
</file>